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4E59" w:rsidR="00EF5B69" w:rsidP="0002356D" w:rsidRDefault="00EF5B69" w14:paraId="623906F1" w14:textId="5C49A63C">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Cs w:val="16"/>
        </w:rPr>
      </w:pPr>
      <w:bookmarkStart w:name="_Toc358989474" w:id="0"/>
    </w:p>
    <w:p w:rsidR="00EF5B69" w:rsidP="0002356D" w:rsidRDefault="00EF5B69" w14:paraId="40CC2E15"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8"/>
          <w:szCs w:val="28"/>
        </w:rPr>
      </w:pPr>
      <w:bookmarkStart w:name="_Toc1981594" w:id="1"/>
      <w:r w:rsidRPr="00E87509">
        <w:rPr>
          <w:rFonts w:ascii="Cambria" w:hAnsi="Cambria" w:cs="Arial"/>
          <w:b/>
          <w:sz w:val="28"/>
          <w:szCs w:val="28"/>
        </w:rPr>
        <w:t>Item 1</w:t>
      </w:r>
      <w:r>
        <w:rPr>
          <w:rFonts w:ascii="Cambria" w:hAnsi="Cambria" w:cs="Arial"/>
          <w:b/>
          <w:sz w:val="28"/>
          <w:szCs w:val="28"/>
        </w:rPr>
        <w:t xml:space="preserve">: </w:t>
      </w:r>
      <w:r w:rsidRPr="00E87509">
        <w:rPr>
          <w:rFonts w:ascii="Cambria" w:hAnsi="Cambria" w:cs="Arial"/>
          <w:b/>
          <w:sz w:val="28"/>
          <w:szCs w:val="28"/>
        </w:rPr>
        <w:t>Cover Page</w:t>
      </w:r>
      <w:bookmarkEnd w:id="1"/>
      <w:r w:rsidRPr="00E87509">
        <w:rPr>
          <w:rFonts w:ascii="Cambria" w:hAnsi="Cambria" w:cs="Arial"/>
          <w:b/>
          <w:sz w:val="28"/>
          <w:szCs w:val="28"/>
        </w:rPr>
        <w:t xml:space="preserve"> </w:t>
      </w:r>
    </w:p>
    <w:p w:rsidRPr="00E87509" w:rsidR="00EF5B69" w:rsidP="0002356D" w:rsidRDefault="00EF5B69" w14:paraId="7410AFFF"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rPr>
          <w:rFonts w:ascii="Cambria" w:hAnsi="Cambria" w:cs="Arial"/>
          <w:b/>
          <w:sz w:val="28"/>
          <w:szCs w:val="28"/>
        </w:rPr>
      </w:pPr>
      <w:r w:rsidRPr="00E87509">
        <w:rPr>
          <w:rFonts w:ascii="Cambria" w:hAnsi="Cambria" w:cs="Arial"/>
          <w:b/>
          <w:sz w:val="28"/>
          <w:szCs w:val="28"/>
        </w:rPr>
        <w:t>Part 2A of Form ADV: Firm Brochure</w:t>
      </w:r>
      <w:bookmarkEnd w:id="0"/>
    </w:p>
    <w:p w:rsidR="00EF5B69" w:rsidP="0002356D" w:rsidRDefault="000272BE" w14:paraId="3F3CB7B5" w14:textId="06AA57EE">
      <w:pPr>
        <w:pBdr>
          <w:top w:val="single" w:color="auto" w:sz="4" w:space="1"/>
          <w:left w:val="single" w:color="auto" w:sz="4" w:space="4"/>
          <w:bottom w:val="single" w:color="auto" w:sz="4" w:space="1"/>
          <w:right w:val="single" w:color="auto" w:sz="4" w:space="4"/>
        </w:pBdr>
        <w:shd w:val="clear" w:color="auto" w:fill="000000" w:themeFill="text1"/>
        <w:autoSpaceDE w:val="0"/>
        <w:autoSpaceDN w:val="0"/>
        <w:jc w:val="center"/>
        <w:rPr>
          <w:rFonts w:ascii="Cambria" w:hAnsi="Cambria" w:cs="Arial"/>
          <w:b/>
          <w:color w:val="000000"/>
          <w:sz w:val="28"/>
          <w:szCs w:val="28"/>
        </w:rPr>
      </w:pPr>
      <w:r>
        <w:rPr>
          <w:rFonts w:ascii="Cambria" w:hAnsi="Cambria" w:cs="Arial"/>
          <w:b/>
          <w:color w:val="FFFFFF" w:themeColor="background1"/>
          <w:sz w:val="28"/>
          <w:szCs w:val="28"/>
        </w:rPr>
        <w:t>March 2022</w:t>
      </w:r>
    </w:p>
    <w:p w:rsidRPr="00594E59" w:rsidR="00EF5B69" w:rsidP="0002356D" w:rsidRDefault="00EF5B69" w14:paraId="17606E27" w14:textId="77777777">
      <w:pPr>
        <w:pBdr>
          <w:top w:val="single" w:color="auto" w:sz="4" w:space="1"/>
          <w:left w:val="single" w:color="auto" w:sz="4" w:space="4"/>
          <w:bottom w:val="single" w:color="auto" w:sz="4" w:space="1"/>
          <w:right w:val="single" w:color="auto" w:sz="4" w:space="4"/>
        </w:pBdr>
        <w:shd w:val="clear" w:color="auto" w:fill="000000" w:themeFill="text1"/>
        <w:autoSpaceDE w:val="0"/>
        <w:autoSpaceDN w:val="0"/>
        <w:jc w:val="center"/>
        <w:rPr>
          <w:rFonts w:ascii="Cambria" w:hAnsi="Cambria" w:cs="Arial"/>
          <w:b/>
          <w:color w:val="000000"/>
          <w:szCs w:val="16"/>
        </w:rPr>
      </w:pPr>
    </w:p>
    <w:p w:rsidRPr="00E87509" w:rsidR="00EF5B69" w:rsidP="00EF5B69" w:rsidRDefault="00EF5B69" w14:paraId="696E8803" w14:textId="77777777">
      <w:pPr>
        <w:autoSpaceDE w:val="0"/>
        <w:autoSpaceDN w:val="0"/>
        <w:jc w:val="center"/>
        <w:rPr>
          <w:rFonts w:ascii="Cambria" w:hAnsi="Cambria" w:cs="Arial"/>
          <w:b/>
          <w:color w:val="000000"/>
        </w:rPr>
      </w:pPr>
    </w:p>
    <w:p w:rsidRPr="00E87509" w:rsidR="00EF5B69" w:rsidP="00EF5B69" w:rsidRDefault="00EF5B69" w14:paraId="5064BD9F" w14:textId="77777777">
      <w:pPr>
        <w:autoSpaceDE w:val="0"/>
        <w:autoSpaceDN w:val="0"/>
        <w:rPr>
          <w:rFonts w:ascii="Cambria" w:hAnsi="Cambria" w:cs="Arial"/>
          <w:color w:val="000000"/>
        </w:rPr>
      </w:pPr>
    </w:p>
    <w:p w:rsidR="00EF5B69" w:rsidP="00EF5B69" w:rsidRDefault="00EF5B69" w14:paraId="43CB5122" w14:textId="77777777">
      <w:pPr>
        <w:autoSpaceDE w:val="0"/>
        <w:autoSpaceDN w:val="0"/>
        <w:rPr>
          <w:rFonts w:ascii="Cambria" w:hAnsi="Cambria" w:cs="Arial"/>
          <w:b/>
          <w:bCs/>
        </w:rPr>
      </w:pPr>
    </w:p>
    <w:p w:rsidRPr="00E87509" w:rsidR="00EF5B69" w:rsidP="00EF5B69" w:rsidRDefault="00EF5B69" w14:paraId="69F44D0E" w14:textId="77777777">
      <w:pPr>
        <w:autoSpaceDE w:val="0"/>
        <w:autoSpaceDN w:val="0"/>
        <w:rPr>
          <w:rFonts w:ascii="Cambria" w:hAnsi="Cambria" w:cs="Arial"/>
          <w:b/>
          <w:bCs/>
        </w:rPr>
      </w:pPr>
    </w:p>
    <w:p w:rsidRPr="00E87509" w:rsidR="00EF5B69" w:rsidP="00EF5B69" w:rsidRDefault="00EF5B69" w14:paraId="5C3D0BC5" w14:textId="77777777">
      <w:pPr>
        <w:autoSpaceDE w:val="0"/>
        <w:autoSpaceDN w:val="0"/>
        <w:rPr>
          <w:rFonts w:ascii="Cambria" w:hAnsi="Cambria" w:cs="Arial"/>
          <w:b/>
          <w:bCs/>
        </w:rPr>
      </w:pPr>
    </w:p>
    <w:p w:rsidRPr="00E87509" w:rsidR="00EF5B69" w:rsidP="00EF5B69" w:rsidRDefault="00EF5B69" w14:paraId="2CF95DCF" w14:textId="77777777">
      <w:pPr>
        <w:autoSpaceDE w:val="0"/>
        <w:autoSpaceDN w:val="0"/>
        <w:rPr>
          <w:rFonts w:ascii="Cambria" w:hAnsi="Cambria" w:cs="Arial"/>
          <w:b/>
          <w:bCs/>
        </w:rPr>
      </w:pPr>
    </w:p>
    <w:p w:rsidR="00EF5B69" w:rsidP="00EF5B69" w:rsidRDefault="00EF5B69" w14:paraId="75908E7C" w14:textId="77777777">
      <w:pPr>
        <w:autoSpaceDE w:val="0"/>
        <w:autoSpaceDN w:val="0"/>
        <w:rPr>
          <w:rFonts w:ascii="Cambria" w:hAnsi="Cambria" w:cs="Arial"/>
          <w:b/>
          <w:bCs/>
        </w:rPr>
      </w:pPr>
    </w:p>
    <w:p w:rsidR="00EF5B69" w:rsidP="00EF5B69" w:rsidRDefault="00EF5B69" w14:paraId="45B72568" w14:textId="77777777">
      <w:pPr>
        <w:autoSpaceDE w:val="0"/>
        <w:autoSpaceDN w:val="0"/>
        <w:rPr>
          <w:rFonts w:ascii="Cambria" w:hAnsi="Cambria" w:cs="Arial"/>
          <w:b/>
          <w:bCs/>
        </w:rPr>
      </w:pPr>
    </w:p>
    <w:p w:rsidR="00EF5B69" w:rsidP="00EF5B69" w:rsidRDefault="00EF5B69" w14:paraId="1E22D216" w14:textId="77777777">
      <w:pPr>
        <w:autoSpaceDE w:val="0"/>
        <w:autoSpaceDN w:val="0"/>
        <w:rPr>
          <w:rFonts w:ascii="Cambria" w:hAnsi="Cambria" w:cs="Arial"/>
          <w:b/>
          <w:bCs/>
        </w:rPr>
      </w:pPr>
    </w:p>
    <w:p w:rsidRPr="00E87509" w:rsidR="00EF5B69" w:rsidP="00EF5B69" w:rsidRDefault="00EF5B69" w14:paraId="38E25E86" w14:textId="77777777">
      <w:pPr>
        <w:autoSpaceDE w:val="0"/>
        <w:autoSpaceDN w:val="0"/>
        <w:rPr>
          <w:rFonts w:ascii="Cambria" w:hAnsi="Cambria" w:cs="Arial"/>
          <w:b/>
          <w:bCs/>
        </w:rPr>
      </w:pPr>
    </w:p>
    <w:p w:rsidRPr="0016608D" w:rsidR="00EF5B69" w:rsidP="00EF5B69" w:rsidRDefault="0016608D" w14:paraId="5F510DEC" w14:textId="67045263">
      <w:pPr>
        <w:autoSpaceDE w:val="0"/>
        <w:autoSpaceDN w:val="0"/>
        <w:jc w:val="center"/>
        <w:rPr>
          <w:rFonts w:ascii="Cambria" w:hAnsi="Cambria" w:cs="Arial"/>
          <w:b w:val="1"/>
          <w:bCs w:val="1"/>
          <w:sz w:val="32"/>
          <w:szCs w:val="32"/>
        </w:rPr>
      </w:pPr>
      <w:r w:rsidRPr="207502EA" w:rsidR="0016608D">
        <w:rPr>
          <w:rFonts w:ascii="Cambria" w:hAnsi="Cambria" w:cs="Arial"/>
          <w:b w:val="1"/>
          <w:bCs w:val="1"/>
          <w:sz w:val="32"/>
          <w:szCs w:val="32"/>
        </w:rPr>
        <w:t>Thomas Leo Advisory, LLC</w:t>
      </w:r>
    </w:p>
    <w:p w:rsidR="00946EF0" w:rsidP="00BB17E1" w:rsidRDefault="00946EF0" w14:paraId="7A3BC80D" w14:textId="746A91A1">
      <w:pPr>
        <w:autoSpaceDE w:val="0"/>
        <w:autoSpaceDN w:val="0"/>
        <w:jc w:val="center"/>
        <w:rPr>
          <w:rFonts w:ascii="Cambria" w:hAnsi="Cambria" w:cs="Arial"/>
          <w:b/>
          <w:bCs/>
          <w:sz w:val="32"/>
          <w:szCs w:val="32"/>
        </w:rPr>
      </w:pPr>
      <w:r>
        <w:rPr>
          <w:rFonts w:ascii="Cambria" w:hAnsi="Cambria" w:cs="Arial"/>
          <w:b/>
          <w:bCs/>
          <w:sz w:val="32"/>
          <w:szCs w:val="32"/>
        </w:rPr>
        <w:t>4353 Upton Avenue South</w:t>
      </w:r>
      <w:r w:rsidR="000272BE">
        <w:rPr>
          <w:rFonts w:ascii="Cambria" w:hAnsi="Cambria" w:cs="Arial"/>
          <w:b/>
          <w:bCs/>
          <w:sz w:val="32"/>
          <w:szCs w:val="32"/>
        </w:rPr>
        <w:t>,</w:t>
      </w:r>
      <w:r w:rsidR="00E539D2">
        <w:rPr>
          <w:rFonts w:ascii="Cambria" w:hAnsi="Cambria" w:cs="Arial"/>
          <w:b/>
          <w:bCs/>
          <w:sz w:val="32"/>
          <w:szCs w:val="32"/>
        </w:rPr>
        <w:t xml:space="preserve"> Suite 204</w:t>
      </w:r>
    </w:p>
    <w:p w:rsidR="00946EF0" w:rsidP="00BB17E1" w:rsidRDefault="00946EF0" w14:paraId="0BA7B80C" w14:textId="37742ED2">
      <w:pPr>
        <w:autoSpaceDE w:val="0"/>
        <w:autoSpaceDN w:val="0"/>
        <w:jc w:val="center"/>
        <w:rPr>
          <w:rFonts w:ascii="Cambria" w:hAnsi="Cambria" w:cs="Arial"/>
          <w:b/>
          <w:bCs/>
          <w:sz w:val="32"/>
          <w:szCs w:val="32"/>
        </w:rPr>
      </w:pPr>
      <w:r>
        <w:rPr>
          <w:rFonts w:ascii="Cambria" w:hAnsi="Cambria" w:cs="Arial"/>
          <w:b/>
          <w:bCs/>
          <w:sz w:val="32"/>
          <w:szCs w:val="32"/>
        </w:rPr>
        <w:t>Minneapolis, MN 55410</w:t>
      </w:r>
    </w:p>
    <w:p w:rsidRPr="0016608D" w:rsidR="00EF5B69" w:rsidP="00BB17E1" w:rsidRDefault="0016608D" w14:paraId="0E2DF85C" w14:textId="5BD8A91B">
      <w:pPr>
        <w:autoSpaceDE w:val="0"/>
        <w:autoSpaceDN w:val="0"/>
        <w:jc w:val="center"/>
        <w:rPr>
          <w:rFonts w:ascii="Cambria" w:hAnsi="Cambria" w:cs="Arial"/>
          <w:b/>
          <w:bCs/>
          <w:sz w:val="32"/>
          <w:szCs w:val="32"/>
        </w:rPr>
      </w:pPr>
      <w:r w:rsidRPr="0016608D">
        <w:rPr>
          <w:rFonts w:ascii="Cambria" w:hAnsi="Cambria" w:cs="Arial"/>
          <w:b/>
          <w:bCs/>
          <w:sz w:val="32"/>
          <w:szCs w:val="32"/>
        </w:rPr>
        <w:t>(612) 208-1641</w:t>
      </w:r>
    </w:p>
    <w:p w:rsidRPr="0016608D" w:rsidR="00EF5B69" w:rsidP="00EF5B69" w:rsidRDefault="00EF5B69" w14:paraId="149D89D0" w14:textId="77777777">
      <w:pPr>
        <w:autoSpaceDE w:val="0"/>
        <w:autoSpaceDN w:val="0"/>
        <w:jc w:val="center"/>
        <w:rPr>
          <w:rFonts w:ascii="Cambria" w:hAnsi="Cambria" w:cs="Arial"/>
          <w:b/>
          <w:bCs/>
          <w:sz w:val="32"/>
          <w:szCs w:val="32"/>
        </w:rPr>
      </w:pPr>
    </w:p>
    <w:p w:rsidRPr="0016608D" w:rsidR="00EF5B69" w:rsidP="00EF5B69" w:rsidRDefault="00EF5B69" w14:paraId="7ABCA05D" w14:textId="77777777">
      <w:pPr>
        <w:autoSpaceDE w:val="0"/>
        <w:autoSpaceDN w:val="0"/>
        <w:jc w:val="center"/>
        <w:rPr>
          <w:rFonts w:ascii="Cambria" w:hAnsi="Cambria" w:cs="Arial"/>
          <w:b/>
          <w:bCs/>
          <w:sz w:val="32"/>
          <w:szCs w:val="32"/>
        </w:rPr>
      </w:pPr>
      <w:r w:rsidRPr="0016608D">
        <w:rPr>
          <w:rFonts w:ascii="Cambria" w:hAnsi="Cambria" w:cs="Arial"/>
          <w:b/>
          <w:bCs/>
          <w:sz w:val="32"/>
          <w:szCs w:val="32"/>
        </w:rPr>
        <w:t xml:space="preserve">Firm Contact: </w:t>
      </w:r>
    </w:p>
    <w:p w:rsidRPr="0016608D" w:rsidR="00EF5B69" w:rsidP="00EF5B69" w:rsidRDefault="0016608D" w14:paraId="31610BA5" w14:textId="2DC26F94">
      <w:pPr>
        <w:autoSpaceDE w:val="0"/>
        <w:autoSpaceDN w:val="0"/>
        <w:jc w:val="center"/>
        <w:rPr>
          <w:rFonts w:ascii="Cambria" w:hAnsi="Cambria" w:cs="Arial"/>
          <w:b/>
          <w:bCs/>
          <w:sz w:val="32"/>
          <w:szCs w:val="32"/>
        </w:rPr>
      </w:pPr>
      <w:r w:rsidRPr="0016608D">
        <w:rPr>
          <w:rFonts w:ascii="Cambria" w:hAnsi="Cambria" w:cs="Arial"/>
          <w:b/>
          <w:bCs/>
          <w:sz w:val="32"/>
          <w:szCs w:val="32"/>
        </w:rPr>
        <w:t>Leo Arms</w:t>
      </w:r>
    </w:p>
    <w:p w:rsidRPr="00DF224D" w:rsidR="00EF5B69" w:rsidP="00EF5B69" w:rsidRDefault="00EF5B69" w14:paraId="73087628" w14:textId="77777777">
      <w:pPr>
        <w:autoSpaceDE w:val="0"/>
        <w:autoSpaceDN w:val="0"/>
        <w:jc w:val="center"/>
        <w:rPr>
          <w:rFonts w:ascii="Cambria" w:hAnsi="Cambria" w:cs="Arial"/>
          <w:b/>
          <w:bCs/>
          <w:sz w:val="32"/>
          <w:szCs w:val="32"/>
        </w:rPr>
      </w:pPr>
      <w:r w:rsidRPr="0016608D">
        <w:rPr>
          <w:rFonts w:ascii="Cambria" w:hAnsi="Cambria" w:cs="Arial"/>
          <w:b/>
          <w:bCs/>
          <w:sz w:val="32"/>
          <w:szCs w:val="32"/>
        </w:rPr>
        <w:t>Chief Compliance Officer</w:t>
      </w:r>
    </w:p>
    <w:p w:rsidRPr="00E87509" w:rsidR="00EF5B69" w:rsidP="00EF5B69" w:rsidRDefault="00EF5B69" w14:paraId="26A9C5BC" w14:textId="77777777">
      <w:pPr>
        <w:autoSpaceDE w:val="0"/>
        <w:autoSpaceDN w:val="0"/>
        <w:rPr>
          <w:rFonts w:ascii="Cambria" w:hAnsi="Cambria" w:cs="Arial"/>
          <w:b/>
          <w:bCs/>
          <w:sz w:val="28"/>
          <w:szCs w:val="28"/>
        </w:rPr>
      </w:pPr>
    </w:p>
    <w:p w:rsidRPr="00E87509" w:rsidR="00EF5B69" w:rsidP="00EF5B69" w:rsidRDefault="00EF5B69" w14:paraId="5A1371AC" w14:textId="77777777">
      <w:pPr>
        <w:autoSpaceDE w:val="0"/>
        <w:autoSpaceDN w:val="0"/>
        <w:rPr>
          <w:rFonts w:ascii="Cambria" w:hAnsi="Cambria" w:cs="Arial"/>
          <w:b/>
          <w:bCs/>
          <w:sz w:val="28"/>
          <w:szCs w:val="28"/>
        </w:rPr>
      </w:pPr>
    </w:p>
    <w:p w:rsidR="00EF5B69" w:rsidP="00EF5B69" w:rsidRDefault="00EF5B69" w14:paraId="36FCAC0D" w14:textId="77777777">
      <w:pPr>
        <w:autoSpaceDE w:val="0"/>
        <w:autoSpaceDN w:val="0"/>
        <w:rPr>
          <w:rFonts w:ascii="Cambria" w:hAnsi="Cambria" w:cs="Arial"/>
          <w:b/>
          <w:bCs/>
          <w:sz w:val="28"/>
          <w:szCs w:val="28"/>
        </w:rPr>
      </w:pPr>
    </w:p>
    <w:p w:rsidRPr="00E87509" w:rsidR="00EF5B69" w:rsidP="00EF5B69" w:rsidRDefault="00EF5B69" w14:paraId="16613D07" w14:textId="77777777">
      <w:pPr>
        <w:autoSpaceDE w:val="0"/>
        <w:autoSpaceDN w:val="0"/>
        <w:rPr>
          <w:rFonts w:ascii="Cambria" w:hAnsi="Cambria" w:cs="Arial"/>
          <w:b/>
          <w:bCs/>
          <w:sz w:val="28"/>
          <w:szCs w:val="28"/>
        </w:rPr>
      </w:pPr>
    </w:p>
    <w:p w:rsidRPr="00E87509" w:rsidR="00EF5B69" w:rsidP="00EF5B69" w:rsidRDefault="00EF5B69" w14:paraId="2B6EE1E7" w14:textId="77777777">
      <w:pPr>
        <w:autoSpaceDE w:val="0"/>
        <w:autoSpaceDN w:val="0"/>
        <w:rPr>
          <w:rFonts w:ascii="Cambria" w:hAnsi="Cambria" w:cs="Arial"/>
          <w:b/>
          <w:bCs/>
        </w:rPr>
      </w:pPr>
    </w:p>
    <w:p w:rsidR="00EF5B69" w:rsidP="00EF5B69" w:rsidRDefault="00EF5B69" w14:paraId="598BE72F" w14:textId="77777777">
      <w:pPr>
        <w:autoSpaceDE w:val="0"/>
        <w:autoSpaceDN w:val="0"/>
        <w:rPr>
          <w:rFonts w:ascii="Cambria" w:hAnsi="Cambria" w:cs="Arial"/>
          <w:b/>
          <w:bCs/>
        </w:rPr>
      </w:pPr>
    </w:p>
    <w:p w:rsidRPr="00E87509" w:rsidR="00EF5B69" w:rsidP="00EF5B69" w:rsidRDefault="00EF5B69" w14:paraId="5B11A2B9" w14:textId="77777777">
      <w:pPr>
        <w:autoSpaceDE w:val="0"/>
        <w:autoSpaceDN w:val="0"/>
        <w:rPr>
          <w:rFonts w:ascii="Cambria" w:hAnsi="Cambria" w:cs="Arial"/>
          <w:b/>
          <w:bCs/>
        </w:rPr>
      </w:pPr>
    </w:p>
    <w:p w:rsidRPr="00E87509" w:rsidR="00EF5B69" w:rsidP="00EF5B69" w:rsidRDefault="00EF5B69" w14:paraId="4E9C8685" w14:textId="77777777">
      <w:pPr>
        <w:autoSpaceDE w:val="0"/>
        <w:autoSpaceDN w:val="0"/>
        <w:rPr>
          <w:rFonts w:ascii="Cambria" w:hAnsi="Cambria" w:cs="Arial"/>
          <w:b/>
          <w:bCs/>
        </w:rPr>
      </w:pPr>
    </w:p>
    <w:p w:rsidRPr="00E87509" w:rsidR="00EF5B69" w:rsidP="00EF5B69" w:rsidRDefault="00EF5B69" w14:paraId="65E18B0F" w14:textId="77777777">
      <w:pPr>
        <w:autoSpaceDE w:val="0"/>
        <w:autoSpaceDN w:val="0"/>
        <w:rPr>
          <w:rFonts w:ascii="Cambria" w:hAnsi="Cambria" w:cs="Arial"/>
          <w:b/>
          <w:bCs/>
        </w:rPr>
      </w:pPr>
    </w:p>
    <w:p w:rsidRPr="000D49A9" w:rsidR="00EF5B69" w:rsidP="00EF5B69" w:rsidRDefault="00EF5B69" w14:paraId="18A0AA20" w14:textId="745AE9E5">
      <w:pPr>
        <w:autoSpaceDE w:val="0"/>
        <w:autoSpaceDN w:val="0"/>
        <w:jc w:val="both"/>
        <w:rPr>
          <w:rFonts w:ascii="Cambria" w:hAnsi="Cambria" w:cs="Arial"/>
          <w:bCs/>
        </w:rPr>
      </w:pPr>
      <w:r w:rsidRPr="0016608D">
        <w:rPr>
          <w:rFonts w:ascii="Cambria" w:hAnsi="Cambria" w:cs="Arial"/>
          <w:bCs/>
        </w:rPr>
        <w:t xml:space="preserve">This brochure provides information about the qualifications and business practices of </w:t>
      </w:r>
      <w:r w:rsidRPr="0016608D" w:rsidR="0016608D">
        <w:rPr>
          <w:rFonts w:ascii="Cambria" w:hAnsi="Cambria" w:cs="Arial"/>
          <w:bCs/>
        </w:rPr>
        <w:t>Thomas Leo Advisory, LLC</w:t>
      </w:r>
      <w:r w:rsidRPr="0016608D">
        <w:rPr>
          <w:rFonts w:ascii="Cambria" w:hAnsi="Cambria" w:cs="Arial"/>
          <w:bCs/>
        </w:rPr>
        <w:t>. If clients have any questions about the contents of thi</w:t>
      </w:r>
      <w:r w:rsidRPr="0016608D" w:rsidR="0021412D">
        <w:rPr>
          <w:rFonts w:ascii="Cambria" w:hAnsi="Cambria" w:cs="Arial"/>
          <w:bCs/>
        </w:rPr>
        <w:t>s brochure, please contact us</w:t>
      </w:r>
      <w:r w:rsidRPr="0016608D">
        <w:rPr>
          <w:rFonts w:ascii="Cambria" w:hAnsi="Cambria" w:cs="Arial"/>
          <w:bCs/>
        </w:rPr>
        <w:t xml:space="preserve"> at </w:t>
      </w:r>
      <w:r w:rsidRPr="0016608D" w:rsidR="0016608D">
        <w:rPr>
          <w:rFonts w:ascii="Cambria" w:hAnsi="Cambria" w:cs="Arial"/>
          <w:bCs/>
        </w:rPr>
        <w:t>(612) 208-1641</w:t>
      </w:r>
      <w:r w:rsidRPr="0016608D">
        <w:rPr>
          <w:rFonts w:ascii="Cambria" w:hAnsi="Cambria" w:cs="Arial"/>
          <w:bCs/>
        </w:rPr>
        <w:t xml:space="preserve"> or </w:t>
      </w:r>
      <w:r w:rsidRPr="0016608D" w:rsidR="0016608D">
        <w:rPr>
          <w:rFonts w:ascii="Cambria" w:hAnsi="Cambria" w:cs="Arial"/>
          <w:bCs/>
        </w:rPr>
        <w:t>leo@thomasleoadvisory.com</w:t>
      </w:r>
      <w:r w:rsidRPr="0016608D">
        <w:rPr>
          <w:rFonts w:ascii="Cambria" w:hAnsi="Cambria" w:cs="Arial"/>
          <w:bCs/>
        </w:rPr>
        <w:t>. The information in this brochure has not been approved or verified by</w:t>
      </w:r>
      <w:r w:rsidRPr="00FA1CA8">
        <w:rPr>
          <w:rFonts w:ascii="Cambria" w:hAnsi="Cambria" w:cs="Arial"/>
          <w:bCs/>
        </w:rPr>
        <w:t xml:space="preserve"> the United States Securitie</w:t>
      </w:r>
      <w:r w:rsidRPr="000D49A9">
        <w:rPr>
          <w:rFonts w:ascii="Cambria" w:hAnsi="Cambria" w:cs="Arial"/>
          <w:bCs/>
        </w:rPr>
        <w:t>s and Exchange Commission or by any State Securities Authority. Additional information about ou</w:t>
      </w:r>
      <w:r>
        <w:rPr>
          <w:rFonts w:ascii="Cambria" w:hAnsi="Cambria" w:cs="Arial"/>
          <w:bCs/>
        </w:rPr>
        <w:t>r</w:t>
      </w:r>
      <w:r w:rsidRPr="000D49A9">
        <w:rPr>
          <w:rFonts w:ascii="Cambria" w:hAnsi="Cambria" w:cs="Arial"/>
          <w:bCs/>
        </w:rPr>
        <w:t xml:space="preserve"> firm is</w:t>
      </w:r>
      <w:r w:rsidRPr="000D49A9" w:rsidDel="005A2C15">
        <w:rPr>
          <w:rFonts w:ascii="Cambria" w:hAnsi="Cambria" w:cs="Arial"/>
          <w:bCs/>
        </w:rPr>
        <w:t xml:space="preserve"> </w:t>
      </w:r>
      <w:r w:rsidRPr="000D49A9">
        <w:rPr>
          <w:rFonts w:ascii="Cambria" w:hAnsi="Cambria" w:cs="Arial"/>
          <w:bCs/>
        </w:rPr>
        <w:t xml:space="preserve">also available on the SEC’s website at </w:t>
      </w:r>
      <w:hyperlink w:history="1" r:id="rId8">
        <w:r w:rsidRPr="000D49A9">
          <w:rPr>
            <w:rStyle w:val="Hyperlink"/>
            <w:rFonts w:ascii="Cambria" w:hAnsi="Cambria" w:cs="Arial"/>
            <w:bCs/>
          </w:rPr>
          <w:t>www.adviserinfo.sec.gov</w:t>
        </w:r>
      </w:hyperlink>
      <w:r w:rsidR="00F444A2">
        <w:rPr>
          <w:rFonts w:ascii="Cambria" w:hAnsi="Cambria" w:cs="Arial"/>
          <w:bCs/>
        </w:rPr>
        <w:t xml:space="preserve"> by searching CRD #</w:t>
      </w:r>
      <w:r w:rsidR="0016608D">
        <w:rPr>
          <w:rFonts w:ascii="Cambria" w:hAnsi="Cambria" w:cs="Arial"/>
          <w:bCs/>
        </w:rPr>
        <w:t>159271</w:t>
      </w:r>
      <w:r w:rsidR="00F444A2">
        <w:rPr>
          <w:rFonts w:ascii="Cambria" w:hAnsi="Cambria" w:cs="Arial"/>
          <w:bCs/>
        </w:rPr>
        <w:t>.</w:t>
      </w:r>
    </w:p>
    <w:p w:rsidRPr="000D49A9" w:rsidR="00EF5B69" w:rsidP="00EF5B69" w:rsidRDefault="00EF5B69" w14:paraId="66AB41C6" w14:textId="77777777">
      <w:pPr>
        <w:autoSpaceDE w:val="0"/>
        <w:autoSpaceDN w:val="0"/>
        <w:jc w:val="both"/>
        <w:rPr>
          <w:rFonts w:ascii="Cambria" w:hAnsi="Cambria" w:cs="Arial"/>
          <w:bCs/>
        </w:rPr>
      </w:pPr>
    </w:p>
    <w:p w:rsidR="00EF5B69" w:rsidP="00DF6535" w:rsidRDefault="00EF5B69" w14:paraId="530732F4" w14:textId="102FD1FB">
      <w:pPr>
        <w:pStyle w:val="NoSpacing"/>
        <w:jc w:val="both"/>
        <w:rPr>
          <w:rFonts w:ascii="Cambria" w:hAnsi="Cambria" w:cs="Arial"/>
          <w:bCs/>
        </w:rPr>
      </w:pPr>
      <w:r w:rsidRPr="000D49A9">
        <w:rPr>
          <w:rFonts w:ascii="Cambria" w:hAnsi="Cambria" w:cs="Arial"/>
          <w:bCs/>
        </w:rPr>
        <w:t xml:space="preserve">Please note that the use of the term “registered investment adviser” and description of our firm and/or our associates as “registered” does not imply a certain level of skill or training. Clients </w:t>
      </w:r>
      <w:r w:rsidRPr="000C79D0">
        <w:rPr>
          <w:rFonts w:ascii="Cambria" w:hAnsi="Cambria" w:cs="Arial"/>
          <w:bCs/>
        </w:rPr>
        <w:t>are encouraged to review this Brochure and Brochure Supplements for our firm’s associates wh</w:t>
      </w:r>
      <w:r w:rsidRPr="000D49A9">
        <w:rPr>
          <w:rFonts w:ascii="Cambria" w:hAnsi="Cambria" w:cs="Arial"/>
          <w:bCs/>
        </w:rPr>
        <w:t>o advise clients for more information on the qualifications of our firm and our employees.</w:t>
      </w:r>
    </w:p>
    <w:p w:rsidR="006D2585" w:rsidP="00DF6535" w:rsidRDefault="006D2585" w14:paraId="15973366" w14:textId="77777777">
      <w:pPr>
        <w:pStyle w:val="NoSpacing"/>
        <w:jc w:val="both"/>
        <w:rPr>
          <w:rFonts w:ascii="Cambria" w:hAnsi="Cambria" w:cs="Arial"/>
          <w:bCs/>
        </w:rPr>
      </w:pPr>
    </w:p>
    <w:p w:rsidRPr="00594E59" w:rsidR="00EF5B69" w:rsidP="0002356D" w:rsidRDefault="00EF5B69" w14:paraId="563A954E"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bCs/>
          <w:szCs w:val="16"/>
        </w:rPr>
      </w:pPr>
      <w:bookmarkStart w:name="_Toc358989475" w:id="2"/>
    </w:p>
    <w:p w:rsidR="00EF5B69" w:rsidP="0002356D" w:rsidRDefault="00EF5B69" w14:paraId="207EA2EF"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bCs/>
          <w:sz w:val="24"/>
          <w:szCs w:val="24"/>
        </w:rPr>
      </w:pPr>
      <w:bookmarkStart w:name="_Toc1981595" w:id="3"/>
      <w:r w:rsidRPr="00DF224D">
        <w:rPr>
          <w:rFonts w:ascii="Cambria" w:hAnsi="Cambria" w:cs="Arial"/>
          <w:b/>
          <w:bCs/>
          <w:sz w:val="24"/>
          <w:szCs w:val="24"/>
        </w:rPr>
        <w:t>Item 2: Material Changes</w:t>
      </w:r>
      <w:bookmarkEnd w:id="2"/>
      <w:bookmarkEnd w:id="3"/>
    </w:p>
    <w:p w:rsidRPr="00594E59" w:rsidR="00EF5B69" w:rsidP="0002356D" w:rsidRDefault="00EF5B69" w14:paraId="353D7D3F"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Cs w:val="16"/>
        </w:rPr>
      </w:pPr>
    </w:p>
    <w:p w:rsidRPr="00E87509" w:rsidR="00EF5B69" w:rsidP="00EF5B69" w:rsidRDefault="00EF5B69" w14:paraId="12FAAC3C" w14:textId="77777777">
      <w:pPr>
        <w:autoSpaceDE w:val="0"/>
        <w:autoSpaceDN w:val="0"/>
        <w:rPr>
          <w:rFonts w:ascii="Cambria" w:hAnsi="Cambria" w:cs="Arial"/>
        </w:rPr>
      </w:pPr>
    </w:p>
    <w:p w:rsidRPr="00B251C3" w:rsidR="00EF5B69" w:rsidP="00EF5B69" w:rsidRDefault="0016608D" w14:paraId="35AE452D" w14:textId="491E383A">
      <w:pPr>
        <w:autoSpaceDE w:val="0"/>
        <w:autoSpaceDN w:val="0"/>
        <w:jc w:val="both"/>
        <w:rPr>
          <w:rFonts w:ascii="Cambria" w:hAnsi="Cambria" w:cs="Arial"/>
          <w:b/>
          <w:bCs/>
        </w:rPr>
      </w:pPr>
      <w:r w:rsidRPr="0016608D">
        <w:rPr>
          <w:rFonts w:ascii="Cambria" w:hAnsi="Cambria" w:cs="Arial"/>
          <w:bCs/>
        </w:rPr>
        <w:t>Thomas Leo Advisory, LLC</w:t>
      </w:r>
      <w:r w:rsidRPr="0016608D" w:rsidR="00EF5B69">
        <w:rPr>
          <w:rFonts w:ascii="Cambria" w:hAnsi="Cambria" w:cs="Arial"/>
          <w:bCs/>
        </w:rPr>
        <w:t xml:space="preserve"> </w:t>
      </w:r>
      <w:r w:rsidRPr="0016608D" w:rsidR="00EF5B69">
        <w:rPr>
          <w:rFonts w:asciiTheme="majorHAnsi" w:hAnsiTheme="majorHAnsi"/>
        </w:rPr>
        <w:t xml:space="preserve">is required to make clients aware of information that has changed since the last annual </w:t>
      </w:r>
      <w:r w:rsidRPr="00B251C3" w:rsidR="00EF5B69">
        <w:rPr>
          <w:rFonts w:asciiTheme="majorHAnsi" w:hAnsiTheme="majorHAnsi"/>
        </w:rPr>
        <w:t>update to the Firm Brochure (“Brochure”) and that may be important to them. Clients can then determine whether to review the brochure in its entirety or to contact us with questions about the changes.</w:t>
      </w:r>
    </w:p>
    <w:p w:rsidRPr="00B251C3" w:rsidR="00EF5B69" w:rsidP="00EF5B69" w:rsidRDefault="00EF5B69" w14:paraId="79A09ED8" w14:textId="77777777">
      <w:pPr>
        <w:autoSpaceDE w:val="0"/>
        <w:autoSpaceDN w:val="0"/>
        <w:jc w:val="both"/>
        <w:rPr>
          <w:rFonts w:ascii="Cambria" w:hAnsi="Cambria" w:cs="Arial"/>
          <w:color w:val="000000"/>
        </w:rPr>
      </w:pPr>
    </w:p>
    <w:p w:rsidRPr="00B251C3" w:rsidR="00B251C3" w:rsidP="00EF5B69" w:rsidRDefault="00B251C3" w14:paraId="5A4C0DBF" w14:textId="6514B170">
      <w:pPr>
        <w:autoSpaceDE w:val="0"/>
        <w:autoSpaceDN w:val="0"/>
        <w:jc w:val="both"/>
        <w:rPr>
          <w:rFonts w:ascii="Cambria" w:hAnsi="Cambria" w:cs="Arial"/>
          <w:color w:val="000000"/>
        </w:rPr>
      </w:pPr>
      <w:r w:rsidRPr="00B251C3">
        <w:rPr>
          <w:rFonts w:ascii="Cambria" w:hAnsi="Cambria" w:cs="Arial"/>
          <w:color w:val="000000"/>
        </w:rPr>
        <w:t>Since our last annual updating amendment filed on</w:t>
      </w:r>
      <w:r w:rsidRPr="00B251C3" w:rsidR="00EF5B69">
        <w:rPr>
          <w:rFonts w:ascii="Cambria" w:hAnsi="Cambria" w:cs="Arial"/>
          <w:color w:val="000000"/>
        </w:rPr>
        <w:t xml:space="preserve"> </w:t>
      </w:r>
      <w:r w:rsidRPr="00550F57" w:rsidR="000272BE">
        <w:rPr>
          <w:rFonts w:ascii="Cambria" w:hAnsi="Cambria" w:cs="Arial"/>
          <w:color w:val="000000"/>
        </w:rPr>
        <w:t>02</w:t>
      </w:r>
      <w:r w:rsidRPr="00550F57" w:rsidR="00946EF0">
        <w:rPr>
          <w:rFonts w:ascii="Cambria" w:hAnsi="Cambria" w:cs="Arial"/>
          <w:color w:val="000000"/>
        </w:rPr>
        <w:t>/</w:t>
      </w:r>
      <w:r w:rsidRPr="00550F57" w:rsidR="000272BE">
        <w:rPr>
          <w:rFonts w:ascii="Cambria" w:hAnsi="Cambria" w:cs="Arial"/>
          <w:color w:val="000000"/>
        </w:rPr>
        <w:t>26</w:t>
      </w:r>
      <w:r w:rsidRPr="00550F57" w:rsidR="00946EF0">
        <w:rPr>
          <w:rFonts w:ascii="Cambria" w:hAnsi="Cambria" w:cs="Arial"/>
          <w:color w:val="000000"/>
        </w:rPr>
        <w:t>/</w:t>
      </w:r>
      <w:r w:rsidRPr="00550F57" w:rsidR="000272BE">
        <w:rPr>
          <w:rFonts w:ascii="Cambria" w:hAnsi="Cambria" w:cs="Arial"/>
          <w:color w:val="000000"/>
        </w:rPr>
        <w:t>2021</w:t>
      </w:r>
      <w:r w:rsidRPr="00550F57">
        <w:rPr>
          <w:rFonts w:ascii="Cambria" w:hAnsi="Cambria" w:cs="Arial"/>
          <w:color w:val="000000"/>
        </w:rPr>
        <w:t>,</w:t>
      </w:r>
      <w:r w:rsidRPr="00B251C3">
        <w:rPr>
          <w:rFonts w:ascii="Cambria" w:hAnsi="Cambria" w:cs="Arial"/>
          <w:color w:val="000000"/>
        </w:rPr>
        <w:t xml:space="preserve"> </w:t>
      </w:r>
      <w:r w:rsidR="00550F57">
        <w:rPr>
          <w:rFonts w:ascii="Cambria" w:hAnsi="Cambria" w:cs="Arial"/>
          <w:color w:val="000000"/>
        </w:rPr>
        <w:t>our firm has no material changes to report.</w:t>
      </w:r>
    </w:p>
    <w:p w:rsidR="00021F85" w:rsidP="00885430" w:rsidRDefault="00021F85" w14:paraId="4D6AD2CC" w14:textId="10E0B9ED">
      <w:pPr>
        <w:pStyle w:val="ListParagraph"/>
        <w:autoSpaceDE w:val="0"/>
        <w:autoSpaceDN w:val="0"/>
        <w:ind w:left="765"/>
        <w:jc w:val="both"/>
        <w:rPr>
          <w:rFonts w:ascii="Cambria" w:hAnsi="Cambria" w:cs="Arial"/>
          <w:color w:val="000000"/>
          <w:highlight w:val="yellow"/>
        </w:rPr>
      </w:pPr>
    </w:p>
    <w:p w:rsidR="000272BE" w:rsidP="000272BE" w:rsidRDefault="000272BE" w14:paraId="09DE8677" w14:textId="5095656B">
      <w:pPr>
        <w:autoSpaceDE w:val="0"/>
        <w:autoSpaceDN w:val="0"/>
        <w:jc w:val="both"/>
        <w:rPr>
          <w:rFonts w:ascii="Cambria" w:hAnsi="Cambria" w:cs="Arial"/>
          <w:color w:val="000000"/>
          <w:highlight w:val="yellow"/>
        </w:rPr>
      </w:pPr>
    </w:p>
    <w:p w:rsidRPr="00885430" w:rsidR="000272BE" w:rsidP="00885430" w:rsidRDefault="000272BE" w14:paraId="0E60AA6B" w14:textId="77777777">
      <w:pPr>
        <w:autoSpaceDE w:val="0"/>
        <w:autoSpaceDN w:val="0"/>
        <w:jc w:val="both"/>
        <w:rPr>
          <w:rFonts w:ascii="Cambria" w:hAnsi="Cambria" w:cs="Arial"/>
          <w:color w:val="000000"/>
          <w:highlight w:val="yellow"/>
        </w:rPr>
      </w:pPr>
    </w:p>
    <w:p w:rsidR="00611AAF" w:rsidP="00066A2F" w:rsidRDefault="00611AAF" w14:paraId="2ABCBEA7" w14:textId="4AC86B50">
      <w:pPr>
        <w:autoSpaceDE w:val="0"/>
        <w:autoSpaceDN w:val="0"/>
        <w:jc w:val="both"/>
        <w:rPr>
          <w:rFonts w:ascii="Cambria" w:hAnsi="Cambria" w:cs="Arial"/>
          <w:b/>
          <w:bCs/>
        </w:rPr>
      </w:pPr>
    </w:p>
    <w:p w:rsidRPr="00E87509" w:rsidR="001976A6" w:rsidP="00066A2F" w:rsidRDefault="001976A6" w14:paraId="7BEA4050" w14:textId="77777777">
      <w:pPr>
        <w:autoSpaceDE w:val="0"/>
        <w:autoSpaceDN w:val="0"/>
        <w:jc w:val="both"/>
        <w:rPr>
          <w:rFonts w:ascii="Cambria" w:hAnsi="Cambria" w:cs="Arial"/>
          <w:b/>
          <w:bCs/>
        </w:rPr>
      </w:pPr>
    </w:p>
    <w:p w:rsidR="00611AAF" w:rsidP="00066A2F" w:rsidRDefault="00611AAF" w14:paraId="25EACD8F" w14:textId="77777777">
      <w:pPr>
        <w:autoSpaceDE w:val="0"/>
        <w:autoSpaceDN w:val="0"/>
        <w:jc w:val="both"/>
        <w:rPr>
          <w:rFonts w:ascii="Cambria" w:hAnsi="Cambria" w:cs="Arial"/>
          <w:b/>
          <w:bCs/>
        </w:rPr>
      </w:pPr>
    </w:p>
    <w:p w:rsidR="00EF5B69" w:rsidP="00066A2F" w:rsidRDefault="00EF5B69" w14:paraId="3BDCA5F7" w14:textId="77777777">
      <w:pPr>
        <w:autoSpaceDE w:val="0"/>
        <w:autoSpaceDN w:val="0"/>
        <w:jc w:val="both"/>
        <w:rPr>
          <w:rFonts w:ascii="Cambria" w:hAnsi="Cambria" w:cs="Arial"/>
          <w:b/>
          <w:bCs/>
        </w:rPr>
      </w:pPr>
    </w:p>
    <w:p w:rsidR="00EF5B69" w:rsidP="00066A2F" w:rsidRDefault="00EF5B69" w14:paraId="1AD7C55B" w14:textId="77777777">
      <w:pPr>
        <w:autoSpaceDE w:val="0"/>
        <w:autoSpaceDN w:val="0"/>
        <w:jc w:val="both"/>
        <w:rPr>
          <w:rFonts w:ascii="Cambria" w:hAnsi="Cambria" w:cs="Arial"/>
          <w:b/>
          <w:bCs/>
        </w:rPr>
      </w:pPr>
    </w:p>
    <w:p w:rsidR="00EF5B69" w:rsidP="00066A2F" w:rsidRDefault="00EF5B69" w14:paraId="62BAF89E" w14:textId="77777777">
      <w:pPr>
        <w:autoSpaceDE w:val="0"/>
        <w:autoSpaceDN w:val="0"/>
        <w:jc w:val="both"/>
        <w:rPr>
          <w:rFonts w:ascii="Cambria" w:hAnsi="Cambria" w:cs="Arial"/>
          <w:b/>
          <w:bCs/>
        </w:rPr>
      </w:pPr>
    </w:p>
    <w:p w:rsidR="00EF5B69" w:rsidP="00066A2F" w:rsidRDefault="00EF5B69" w14:paraId="39E0A6F5" w14:textId="77777777">
      <w:pPr>
        <w:autoSpaceDE w:val="0"/>
        <w:autoSpaceDN w:val="0"/>
        <w:jc w:val="both"/>
        <w:rPr>
          <w:rFonts w:ascii="Cambria" w:hAnsi="Cambria" w:cs="Arial"/>
          <w:b/>
          <w:bCs/>
        </w:rPr>
      </w:pPr>
    </w:p>
    <w:p w:rsidR="00EF5B69" w:rsidP="00066A2F" w:rsidRDefault="00EF5B69" w14:paraId="7A71CB82" w14:textId="77777777">
      <w:pPr>
        <w:autoSpaceDE w:val="0"/>
        <w:autoSpaceDN w:val="0"/>
        <w:jc w:val="both"/>
        <w:rPr>
          <w:rFonts w:ascii="Cambria" w:hAnsi="Cambria" w:cs="Arial"/>
          <w:b/>
          <w:bCs/>
        </w:rPr>
      </w:pPr>
    </w:p>
    <w:p w:rsidR="00EF5B69" w:rsidP="00066A2F" w:rsidRDefault="00EF5B69" w14:paraId="7A993781" w14:textId="77777777">
      <w:pPr>
        <w:autoSpaceDE w:val="0"/>
        <w:autoSpaceDN w:val="0"/>
        <w:jc w:val="both"/>
        <w:rPr>
          <w:rFonts w:ascii="Cambria" w:hAnsi="Cambria" w:cs="Arial"/>
          <w:b/>
          <w:bCs/>
        </w:rPr>
      </w:pPr>
    </w:p>
    <w:p w:rsidR="00EF5B69" w:rsidP="00066A2F" w:rsidRDefault="00EF5B69" w14:paraId="62F344AD" w14:textId="77777777">
      <w:pPr>
        <w:autoSpaceDE w:val="0"/>
        <w:autoSpaceDN w:val="0"/>
        <w:jc w:val="both"/>
        <w:rPr>
          <w:rFonts w:ascii="Cambria" w:hAnsi="Cambria" w:cs="Arial"/>
          <w:b/>
          <w:bCs/>
        </w:rPr>
      </w:pPr>
    </w:p>
    <w:p w:rsidR="00EF5B69" w:rsidP="00066A2F" w:rsidRDefault="00EF5B69" w14:paraId="299E8195" w14:textId="77777777">
      <w:pPr>
        <w:autoSpaceDE w:val="0"/>
        <w:autoSpaceDN w:val="0"/>
        <w:jc w:val="both"/>
        <w:rPr>
          <w:rFonts w:ascii="Cambria" w:hAnsi="Cambria" w:cs="Arial"/>
          <w:b/>
          <w:bCs/>
        </w:rPr>
      </w:pPr>
    </w:p>
    <w:p w:rsidR="00EF5B69" w:rsidP="00066A2F" w:rsidRDefault="00EF5B69" w14:paraId="40DDF7B6" w14:textId="77777777">
      <w:pPr>
        <w:autoSpaceDE w:val="0"/>
        <w:autoSpaceDN w:val="0"/>
        <w:jc w:val="both"/>
        <w:rPr>
          <w:rFonts w:ascii="Cambria" w:hAnsi="Cambria" w:cs="Arial"/>
          <w:b/>
          <w:bCs/>
        </w:rPr>
      </w:pPr>
    </w:p>
    <w:p w:rsidR="00EF5B69" w:rsidP="00066A2F" w:rsidRDefault="00EF5B69" w14:paraId="1E74DF01" w14:textId="77777777">
      <w:pPr>
        <w:autoSpaceDE w:val="0"/>
        <w:autoSpaceDN w:val="0"/>
        <w:jc w:val="both"/>
        <w:rPr>
          <w:rFonts w:ascii="Cambria" w:hAnsi="Cambria" w:cs="Arial"/>
          <w:b/>
          <w:bCs/>
        </w:rPr>
      </w:pPr>
    </w:p>
    <w:p w:rsidR="00EF5B69" w:rsidP="00066A2F" w:rsidRDefault="00EF5B69" w14:paraId="049BF3B2" w14:textId="4654DD8A">
      <w:pPr>
        <w:autoSpaceDE w:val="0"/>
        <w:autoSpaceDN w:val="0"/>
        <w:jc w:val="both"/>
        <w:rPr>
          <w:rFonts w:ascii="Cambria" w:hAnsi="Cambria" w:cs="Arial"/>
          <w:b/>
          <w:bCs/>
        </w:rPr>
      </w:pPr>
    </w:p>
    <w:p w:rsidR="00EC475B" w:rsidP="00066A2F" w:rsidRDefault="00EC475B" w14:paraId="40C3C5A8" w14:textId="77777777">
      <w:pPr>
        <w:autoSpaceDE w:val="0"/>
        <w:autoSpaceDN w:val="0"/>
        <w:jc w:val="both"/>
        <w:rPr>
          <w:rFonts w:ascii="Cambria" w:hAnsi="Cambria" w:cs="Arial"/>
          <w:b/>
          <w:bCs/>
        </w:rPr>
      </w:pPr>
    </w:p>
    <w:p w:rsidR="00EF5B69" w:rsidP="00066A2F" w:rsidRDefault="00EF5B69" w14:paraId="6DE0AE55" w14:textId="77777777">
      <w:pPr>
        <w:autoSpaceDE w:val="0"/>
        <w:autoSpaceDN w:val="0"/>
        <w:jc w:val="both"/>
        <w:rPr>
          <w:rFonts w:ascii="Cambria" w:hAnsi="Cambria" w:cs="Arial"/>
          <w:b/>
          <w:bCs/>
        </w:rPr>
      </w:pPr>
    </w:p>
    <w:p w:rsidR="00EF5B69" w:rsidP="00066A2F" w:rsidRDefault="00EF5B69" w14:paraId="5F8CD555" w14:textId="77777777">
      <w:pPr>
        <w:autoSpaceDE w:val="0"/>
        <w:autoSpaceDN w:val="0"/>
        <w:jc w:val="both"/>
        <w:rPr>
          <w:rFonts w:ascii="Cambria" w:hAnsi="Cambria" w:cs="Arial"/>
          <w:b/>
          <w:bCs/>
        </w:rPr>
      </w:pPr>
    </w:p>
    <w:p w:rsidR="00EF5B69" w:rsidP="00066A2F" w:rsidRDefault="00EF5B69" w14:paraId="38E111CB" w14:textId="77777777">
      <w:pPr>
        <w:autoSpaceDE w:val="0"/>
        <w:autoSpaceDN w:val="0"/>
        <w:jc w:val="both"/>
        <w:rPr>
          <w:rFonts w:ascii="Cambria" w:hAnsi="Cambria" w:cs="Arial"/>
          <w:b/>
          <w:bCs/>
        </w:rPr>
      </w:pPr>
    </w:p>
    <w:p w:rsidR="00EF5B69" w:rsidP="00066A2F" w:rsidRDefault="00EF5B69" w14:paraId="2D747283" w14:textId="77777777">
      <w:pPr>
        <w:autoSpaceDE w:val="0"/>
        <w:autoSpaceDN w:val="0"/>
        <w:jc w:val="both"/>
        <w:rPr>
          <w:rFonts w:ascii="Cambria" w:hAnsi="Cambria" w:cs="Arial"/>
          <w:b/>
          <w:bCs/>
        </w:rPr>
      </w:pPr>
    </w:p>
    <w:p w:rsidR="00EF5B69" w:rsidP="00066A2F" w:rsidRDefault="00EF5B69" w14:paraId="6759D64B" w14:textId="77777777">
      <w:pPr>
        <w:autoSpaceDE w:val="0"/>
        <w:autoSpaceDN w:val="0"/>
        <w:jc w:val="both"/>
        <w:rPr>
          <w:rFonts w:ascii="Cambria" w:hAnsi="Cambria" w:cs="Arial"/>
          <w:b/>
          <w:bCs/>
        </w:rPr>
      </w:pPr>
    </w:p>
    <w:p w:rsidR="00EF5B69" w:rsidP="00066A2F" w:rsidRDefault="00EF5B69" w14:paraId="7C7ED8C1" w14:textId="77777777">
      <w:pPr>
        <w:autoSpaceDE w:val="0"/>
        <w:autoSpaceDN w:val="0"/>
        <w:jc w:val="both"/>
        <w:rPr>
          <w:rFonts w:ascii="Cambria" w:hAnsi="Cambria" w:cs="Arial"/>
          <w:b/>
          <w:bCs/>
        </w:rPr>
      </w:pPr>
    </w:p>
    <w:p w:rsidR="00EF5B69" w:rsidP="00066A2F" w:rsidRDefault="00EF5B69" w14:paraId="294E5854" w14:textId="77777777">
      <w:pPr>
        <w:autoSpaceDE w:val="0"/>
        <w:autoSpaceDN w:val="0"/>
        <w:jc w:val="both"/>
        <w:rPr>
          <w:rFonts w:ascii="Cambria" w:hAnsi="Cambria" w:cs="Arial"/>
          <w:b/>
          <w:bCs/>
        </w:rPr>
      </w:pPr>
    </w:p>
    <w:p w:rsidR="00CD3509" w:rsidP="00066A2F" w:rsidRDefault="00CD3509" w14:paraId="4D6F3613" w14:textId="161F7D1E">
      <w:pPr>
        <w:autoSpaceDE w:val="0"/>
        <w:autoSpaceDN w:val="0"/>
        <w:jc w:val="both"/>
        <w:rPr>
          <w:rFonts w:ascii="Cambria" w:hAnsi="Cambria" w:cs="Arial"/>
          <w:b/>
          <w:bCs/>
        </w:rPr>
      </w:pPr>
    </w:p>
    <w:p w:rsidR="00CD3509" w:rsidP="00066A2F" w:rsidRDefault="00CD3509" w14:paraId="510FAAA9" w14:textId="0AD8D175">
      <w:pPr>
        <w:autoSpaceDE w:val="0"/>
        <w:autoSpaceDN w:val="0"/>
        <w:jc w:val="both"/>
        <w:rPr>
          <w:rFonts w:ascii="Cambria" w:hAnsi="Cambria" w:cs="Arial"/>
          <w:b/>
          <w:bCs/>
        </w:rPr>
      </w:pPr>
    </w:p>
    <w:p w:rsidR="00CD3509" w:rsidP="00066A2F" w:rsidRDefault="00CD3509" w14:paraId="3AE83917" w14:textId="5740C826">
      <w:pPr>
        <w:autoSpaceDE w:val="0"/>
        <w:autoSpaceDN w:val="0"/>
        <w:jc w:val="both"/>
        <w:rPr>
          <w:rFonts w:ascii="Cambria" w:hAnsi="Cambria" w:cs="Arial"/>
          <w:b/>
          <w:bCs/>
        </w:rPr>
      </w:pPr>
    </w:p>
    <w:p w:rsidR="00CD3509" w:rsidP="00066A2F" w:rsidRDefault="00CD3509" w14:paraId="6B4B343E" w14:textId="093C0AF6">
      <w:pPr>
        <w:autoSpaceDE w:val="0"/>
        <w:autoSpaceDN w:val="0"/>
        <w:jc w:val="both"/>
        <w:rPr>
          <w:rFonts w:ascii="Cambria" w:hAnsi="Cambria" w:cs="Arial"/>
          <w:b/>
          <w:bCs/>
        </w:rPr>
      </w:pPr>
    </w:p>
    <w:p w:rsidR="00CD3509" w:rsidP="00066A2F" w:rsidRDefault="00CD3509" w14:paraId="5F7D42A7" w14:textId="5690F2C1">
      <w:pPr>
        <w:autoSpaceDE w:val="0"/>
        <w:autoSpaceDN w:val="0"/>
        <w:jc w:val="both"/>
        <w:rPr>
          <w:rFonts w:ascii="Cambria" w:hAnsi="Cambria" w:cs="Arial"/>
          <w:b/>
          <w:bCs/>
        </w:rPr>
      </w:pPr>
    </w:p>
    <w:p w:rsidR="00CD3509" w:rsidP="00066A2F" w:rsidRDefault="00CD3509" w14:paraId="11BDB773" w14:textId="24B6CB16">
      <w:pPr>
        <w:autoSpaceDE w:val="0"/>
        <w:autoSpaceDN w:val="0"/>
        <w:jc w:val="both"/>
        <w:rPr>
          <w:rFonts w:ascii="Cambria" w:hAnsi="Cambria" w:cs="Arial"/>
          <w:b/>
          <w:bCs/>
        </w:rPr>
      </w:pPr>
    </w:p>
    <w:p w:rsidR="00CD3509" w:rsidP="00066A2F" w:rsidRDefault="00CD3509" w14:paraId="1399DAB8" w14:textId="77777777">
      <w:pPr>
        <w:autoSpaceDE w:val="0"/>
        <w:autoSpaceDN w:val="0"/>
        <w:jc w:val="both"/>
        <w:rPr>
          <w:rFonts w:ascii="Cambria" w:hAnsi="Cambria" w:cs="Arial"/>
          <w:b/>
          <w:bCs/>
        </w:rPr>
      </w:pPr>
    </w:p>
    <w:p w:rsidR="00D23668" w:rsidP="00066A2F" w:rsidRDefault="00D23668" w14:paraId="01C176BB" w14:textId="77777777">
      <w:pPr>
        <w:autoSpaceDE w:val="0"/>
        <w:autoSpaceDN w:val="0"/>
        <w:jc w:val="both"/>
        <w:rPr>
          <w:rFonts w:ascii="Cambria" w:hAnsi="Cambria" w:cs="Arial"/>
          <w:b/>
          <w:bCs/>
        </w:rPr>
      </w:pPr>
    </w:p>
    <w:p w:rsidR="00EF5B69" w:rsidP="00066A2F" w:rsidRDefault="00EF5B69" w14:paraId="0D1680FE" w14:textId="77777777">
      <w:pPr>
        <w:autoSpaceDE w:val="0"/>
        <w:autoSpaceDN w:val="0"/>
        <w:jc w:val="both"/>
        <w:rPr>
          <w:rFonts w:ascii="Cambria" w:hAnsi="Cambria" w:cs="Arial"/>
          <w:b/>
          <w:bCs/>
        </w:rPr>
      </w:pPr>
    </w:p>
    <w:p w:rsidR="00EF5B69" w:rsidP="00066A2F" w:rsidRDefault="00EF5B69" w14:paraId="335F5655" w14:textId="77777777">
      <w:pPr>
        <w:autoSpaceDE w:val="0"/>
        <w:autoSpaceDN w:val="0"/>
        <w:jc w:val="both"/>
        <w:rPr>
          <w:rFonts w:ascii="Cambria" w:hAnsi="Cambria" w:cs="Arial"/>
          <w:b/>
          <w:bCs/>
        </w:rPr>
      </w:pPr>
    </w:p>
    <w:p w:rsidR="00EF5B69" w:rsidP="00066A2F" w:rsidRDefault="00EF5B69" w14:paraId="6B7FCE59" w14:textId="77777777">
      <w:pPr>
        <w:autoSpaceDE w:val="0"/>
        <w:autoSpaceDN w:val="0"/>
        <w:jc w:val="both"/>
        <w:rPr>
          <w:rFonts w:ascii="Cambria" w:hAnsi="Cambria" w:cs="Arial"/>
          <w:b/>
          <w:bCs/>
        </w:rPr>
      </w:pPr>
    </w:p>
    <w:p w:rsidR="00EF5B69" w:rsidP="00066A2F" w:rsidRDefault="00EF5B69" w14:paraId="211C1383" w14:textId="064BCEDA">
      <w:pPr>
        <w:autoSpaceDE w:val="0"/>
        <w:autoSpaceDN w:val="0"/>
        <w:jc w:val="both"/>
        <w:rPr>
          <w:rFonts w:ascii="Cambria" w:hAnsi="Cambria" w:cs="Arial"/>
          <w:b/>
          <w:bCs/>
        </w:rPr>
      </w:pPr>
    </w:p>
    <w:p w:rsidR="0016608D" w:rsidP="00066A2F" w:rsidRDefault="0016608D" w14:paraId="254B37D2" w14:textId="01EA80CE">
      <w:pPr>
        <w:autoSpaceDE w:val="0"/>
        <w:autoSpaceDN w:val="0"/>
        <w:jc w:val="both"/>
        <w:rPr>
          <w:rFonts w:ascii="Cambria" w:hAnsi="Cambria" w:cs="Arial"/>
          <w:b/>
          <w:bCs/>
        </w:rPr>
      </w:pPr>
    </w:p>
    <w:p w:rsidRPr="00594E59" w:rsidR="00594E59" w:rsidP="0002356D" w:rsidRDefault="00594E59" w14:paraId="7A3844B8"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00EF5B69" w:rsidP="0002356D" w:rsidRDefault="00EF5B69" w14:paraId="6C95C1B1"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596" w:id="4"/>
      <w:r w:rsidRPr="00DF224D">
        <w:rPr>
          <w:rFonts w:ascii="Cambria" w:hAnsi="Cambria" w:cs="Arial"/>
          <w:b/>
          <w:sz w:val="24"/>
          <w:szCs w:val="24"/>
        </w:rPr>
        <w:t>Item 3: Table of Contents</w:t>
      </w:r>
      <w:bookmarkEnd w:id="4"/>
    </w:p>
    <w:p w:rsidRPr="00594E59" w:rsidR="00EF5B69" w:rsidP="0002356D" w:rsidRDefault="00EF5B69" w14:paraId="4834884E"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341CED" w:rsidR="00EF5B69" w:rsidP="00EF5B69" w:rsidRDefault="00EF5B69" w14:paraId="225DEC7C" w14:textId="77777777">
      <w:pPr>
        <w:pStyle w:val="NoSpacing"/>
        <w:jc w:val="center"/>
        <w:outlineLvl w:val="0"/>
        <w:rPr>
          <w:rFonts w:ascii="Cambria" w:hAnsi="Cambria" w:cs="Arial"/>
          <w:u w:val="single"/>
        </w:rPr>
      </w:pPr>
    </w:p>
    <w:p w:rsidRPr="00341CED" w:rsidR="00341CED" w:rsidRDefault="00E53986" w14:paraId="3E0366FD" w14:textId="5E8F00A0">
      <w:pPr>
        <w:pStyle w:val="TOC1"/>
        <w:rPr>
          <w:rFonts w:asciiTheme="minorHAnsi" w:hAnsiTheme="minorHAnsi" w:eastAsiaTheme="minorEastAsia" w:cstheme="minorBidi"/>
          <w:noProof/>
        </w:rPr>
      </w:pPr>
      <w:r w:rsidRPr="00341CED">
        <w:rPr>
          <w:rFonts w:cs="Arial" w:asciiTheme="majorHAnsi" w:hAnsiTheme="majorHAnsi"/>
        </w:rPr>
        <w:fldChar w:fldCharType="begin"/>
      </w:r>
      <w:r w:rsidRPr="00341CED" w:rsidR="00FB5953">
        <w:rPr>
          <w:rFonts w:cs="Arial" w:asciiTheme="majorHAnsi" w:hAnsiTheme="majorHAnsi"/>
        </w:rPr>
        <w:instrText xml:space="preserve"> TOC \o "1-3" \h \z \u </w:instrText>
      </w:r>
      <w:r w:rsidRPr="00341CED">
        <w:rPr>
          <w:rFonts w:cs="Arial" w:asciiTheme="majorHAnsi" w:hAnsiTheme="majorHAnsi"/>
        </w:rPr>
        <w:fldChar w:fldCharType="separate"/>
      </w:r>
      <w:hyperlink w:history="1" w:anchor="_Toc1981594">
        <w:r w:rsidRPr="00341CED" w:rsidR="00341CED">
          <w:rPr>
            <w:rStyle w:val="Hyperlink"/>
            <w:rFonts w:ascii="Cambria" w:hAnsi="Cambria" w:cs="Arial"/>
            <w:noProof/>
          </w:rPr>
          <w:t>Item 1: Cover Page</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_Toc1981594 \h </w:instrText>
        </w:r>
        <w:r w:rsidRPr="00341CED" w:rsidR="00341CED">
          <w:rPr>
            <w:noProof/>
            <w:webHidden/>
          </w:rPr>
        </w:r>
        <w:r w:rsidRPr="00341CED" w:rsidR="00341CED">
          <w:rPr>
            <w:noProof/>
            <w:webHidden/>
          </w:rPr>
          <w:fldChar w:fldCharType="separate"/>
        </w:r>
        <w:r w:rsidR="00E53870">
          <w:rPr>
            <w:noProof/>
            <w:webHidden/>
          </w:rPr>
          <w:t>1</w:t>
        </w:r>
        <w:r w:rsidRPr="00341CED" w:rsidR="00341CED">
          <w:rPr>
            <w:noProof/>
            <w:webHidden/>
          </w:rPr>
          <w:fldChar w:fldCharType="end"/>
        </w:r>
      </w:hyperlink>
    </w:p>
    <w:p w:rsidRPr="00341CED" w:rsidR="00341CED" w:rsidRDefault="00885430" w14:paraId="2392BECB" w14:textId="419E5CB1">
      <w:pPr>
        <w:pStyle w:val="TOC1"/>
        <w:rPr>
          <w:rFonts w:asciiTheme="minorHAnsi" w:hAnsiTheme="minorHAnsi" w:eastAsiaTheme="minorEastAsia" w:cstheme="minorBidi"/>
          <w:noProof/>
        </w:rPr>
      </w:pPr>
      <w:hyperlink w:history="1" w:anchor="_Toc1981595">
        <w:r w:rsidRPr="00341CED" w:rsidR="00341CED">
          <w:rPr>
            <w:rStyle w:val="Hyperlink"/>
            <w:rFonts w:ascii="Cambria" w:hAnsi="Cambria" w:cs="Arial"/>
            <w:bCs/>
            <w:noProof/>
          </w:rPr>
          <w:t>Item 2: Material Changes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_Toc1981595 \h </w:instrText>
        </w:r>
        <w:r w:rsidRPr="00341CED" w:rsidR="00341CED">
          <w:rPr>
            <w:noProof/>
            <w:webHidden/>
          </w:rPr>
        </w:r>
        <w:r w:rsidRPr="00341CED" w:rsidR="00341CED">
          <w:rPr>
            <w:noProof/>
            <w:webHidden/>
          </w:rPr>
          <w:fldChar w:fldCharType="separate"/>
        </w:r>
        <w:r w:rsidR="00E53870">
          <w:rPr>
            <w:noProof/>
            <w:webHidden/>
          </w:rPr>
          <w:t>2</w:t>
        </w:r>
        <w:r w:rsidRPr="00341CED" w:rsidR="00341CED">
          <w:rPr>
            <w:noProof/>
            <w:webHidden/>
          </w:rPr>
          <w:fldChar w:fldCharType="end"/>
        </w:r>
      </w:hyperlink>
    </w:p>
    <w:p w:rsidRPr="00341CED" w:rsidR="00341CED" w:rsidRDefault="00885430" w14:paraId="4FAE4524" w14:textId="65272422">
      <w:pPr>
        <w:pStyle w:val="TOC1"/>
        <w:rPr>
          <w:rFonts w:asciiTheme="minorHAnsi" w:hAnsiTheme="minorHAnsi" w:eastAsiaTheme="minorEastAsia" w:cstheme="minorBidi"/>
          <w:noProof/>
        </w:rPr>
      </w:pPr>
      <w:hyperlink w:history="1" w:anchor="_Toc1981596">
        <w:r w:rsidRPr="00341CED" w:rsidR="00341CED">
          <w:rPr>
            <w:rStyle w:val="Hyperlink"/>
            <w:rFonts w:ascii="Cambria" w:hAnsi="Cambria" w:cs="Arial"/>
            <w:noProof/>
          </w:rPr>
          <w:t>Item 3: Table of Contents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_Toc1981596 \h </w:instrText>
        </w:r>
        <w:r w:rsidRPr="00341CED" w:rsidR="00341CED">
          <w:rPr>
            <w:noProof/>
            <w:webHidden/>
          </w:rPr>
        </w:r>
        <w:r w:rsidRPr="00341CED" w:rsidR="00341CED">
          <w:rPr>
            <w:noProof/>
            <w:webHidden/>
          </w:rPr>
          <w:fldChar w:fldCharType="separate"/>
        </w:r>
        <w:r w:rsidR="00E53870">
          <w:rPr>
            <w:noProof/>
            <w:webHidden/>
          </w:rPr>
          <w:t>3</w:t>
        </w:r>
        <w:r w:rsidRPr="00341CED" w:rsidR="00341CED">
          <w:rPr>
            <w:noProof/>
            <w:webHidden/>
          </w:rPr>
          <w:fldChar w:fldCharType="end"/>
        </w:r>
      </w:hyperlink>
    </w:p>
    <w:p w:rsidRPr="00341CED" w:rsidR="00341CED" w:rsidRDefault="00885430" w14:paraId="6B9F5649" w14:textId="4CB99F16">
      <w:pPr>
        <w:pStyle w:val="TOC1"/>
        <w:rPr>
          <w:rFonts w:asciiTheme="minorHAnsi" w:hAnsiTheme="minorHAnsi" w:eastAsiaTheme="minorEastAsia" w:cstheme="minorBidi"/>
          <w:noProof/>
        </w:rPr>
      </w:pPr>
      <w:hyperlink w:history="1" w:anchor="_Toc1981597">
        <w:r w:rsidRPr="00341CED" w:rsidR="00341CED">
          <w:rPr>
            <w:rStyle w:val="Hyperlink"/>
            <w:rFonts w:ascii="Cambria" w:hAnsi="Cambria" w:cs="Arial"/>
            <w:noProof/>
          </w:rPr>
          <w:t>Item 4: Advisory Business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_Toc1981597 \h </w:instrText>
        </w:r>
        <w:r w:rsidRPr="00341CED" w:rsidR="00341CED">
          <w:rPr>
            <w:noProof/>
            <w:webHidden/>
          </w:rPr>
        </w:r>
        <w:r w:rsidRPr="00341CED" w:rsidR="00341CED">
          <w:rPr>
            <w:noProof/>
            <w:webHidden/>
          </w:rPr>
          <w:fldChar w:fldCharType="separate"/>
        </w:r>
        <w:r w:rsidR="00E53870">
          <w:rPr>
            <w:noProof/>
            <w:webHidden/>
          </w:rPr>
          <w:t>4</w:t>
        </w:r>
        <w:r w:rsidRPr="00341CED" w:rsidR="00341CED">
          <w:rPr>
            <w:noProof/>
            <w:webHidden/>
          </w:rPr>
          <w:fldChar w:fldCharType="end"/>
        </w:r>
      </w:hyperlink>
    </w:p>
    <w:p w:rsidRPr="00341CED" w:rsidR="00341CED" w:rsidRDefault="00885430" w14:paraId="5ABE110D" w14:textId="3F893AF7">
      <w:pPr>
        <w:pStyle w:val="TOC1"/>
        <w:rPr>
          <w:rFonts w:asciiTheme="minorHAnsi" w:hAnsiTheme="minorHAnsi" w:eastAsiaTheme="minorEastAsia" w:cstheme="minorBidi"/>
          <w:noProof/>
        </w:rPr>
      </w:pPr>
      <w:hyperlink w:history="1" w:anchor="_Toc1981598">
        <w:r w:rsidRPr="00341CED" w:rsidR="00341CED">
          <w:rPr>
            <w:rStyle w:val="Hyperlink"/>
            <w:rFonts w:asciiTheme="majorHAnsi" w:hAnsiTheme="majorHAnsi"/>
            <w:noProof/>
          </w:rPr>
          <w:t>Item 5: Fees &amp; Compensation</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_Toc1981598 \h </w:instrText>
        </w:r>
        <w:r w:rsidRPr="00341CED" w:rsidR="00341CED">
          <w:rPr>
            <w:noProof/>
            <w:webHidden/>
          </w:rPr>
        </w:r>
        <w:r w:rsidRPr="00341CED" w:rsidR="00341CED">
          <w:rPr>
            <w:noProof/>
            <w:webHidden/>
          </w:rPr>
          <w:fldChar w:fldCharType="separate"/>
        </w:r>
        <w:r w:rsidR="00E53870">
          <w:rPr>
            <w:noProof/>
            <w:webHidden/>
          </w:rPr>
          <w:t>5</w:t>
        </w:r>
        <w:r w:rsidRPr="00341CED" w:rsidR="00341CED">
          <w:rPr>
            <w:noProof/>
            <w:webHidden/>
          </w:rPr>
          <w:fldChar w:fldCharType="end"/>
        </w:r>
      </w:hyperlink>
    </w:p>
    <w:p w:rsidRPr="00341CED" w:rsidR="00341CED" w:rsidRDefault="00885430" w14:paraId="48A0F42B" w14:textId="595F9F93">
      <w:pPr>
        <w:pStyle w:val="TOC1"/>
        <w:rPr>
          <w:rFonts w:asciiTheme="minorHAnsi" w:hAnsiTheme="minorHAnsi" w:eastAsiaTheme="minorEastAsia" w:cstheme="minorBidi"/>
          <w:noProof/>
        </w:rPr>
      </w:pPr>
      <w:hyperlink w:history="1" w:anchor="_Toc1981599">
        <w:r w:rsidRPr="00341CED" w:rsidR="00341CED">
          <w:rPr>
            <w:rStyle w:val="Hyperlink"/>
            <w:rFonts w:ascii="Cambria" w:hAnsi="Cambria" w:cs="Arial"/>
            <w:noProof/>
          </w:rPr>
          <w:t>Item 6: Performance-Based Fees &amp; Side-By-Side Management</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_Toc1981599 \h </w:instrText>
        </w:r>
        <w:r w:rsidRPr="00341CED" w:rsidR="00341CED">
          <w:rPr>
            <w:noProof/>
            <w:webHidden/>
          </w:rPr>
        </w:r>
        <w:r w:rsidRPr="00341CED" w:rsidR="00341CED">
          <w:rPr>
            <w:noProof/>
            <w:webHidden/>
          </w:rPr>
          <w:fldChar w:fldCharType="separate"/>
        </w:r>
        <w:r w:rsidR="00E53870">
          <w:rPr>
            <w:noProof/>
            <w:webHidden/>
          </w:rPr>
          <w:t>7</w:t>
        </w:r>
        <w:r w:rsidRPr="00341CED" w:rsidR="00341CED">
          <w:rPr>
            <w:noProof/>
            <w:webHidden/>
          </w:rPr>
          <w:fldChar w:fldCharType="end"/>
        </w:r>
      </w:hyperlink>
    </w:p>
    <w:p w:rsidRPr="00341CED" w:rsidR="00341CED" w:rsidRDefault="00885430" w14:paraId="61C3E44B" w14:textId="0C5650E7">
      <w:pPr>
        <w:pStyle w:val="TOC1"/>
        <w:rPr>
          <w:rFonts w:asciiTheme="minorHAnsi" w:hAnsiTheme="minorHAnsi" w:eastAsiaTheme="minorEastAsia" w:cstheme="minorBidi"/>
          <w:noProof/>
        </w:rPr>
      </w:pPr>
      <w:hyperlink w:history="1" w:anchor="_Toc1981600">
        <w:r w:rsidRPr="00341CED" w:rsidR="00341CED">
          <w:rPr>
            <w:rStyle w:val="Hyperlink"/>
            <w:rFonts w:ascii="Cambria" w:hAnsi="Cambria" w:cs="Arial"/>
            <w:noProof/>
          </w:rPr>
          <w:t>Item 7: Types of Clients &amp; Account Requirements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_Toc1981600 \h </w:instrText>
        </w:r>
        <w:r w:rsidRPr="00341CED" w:rsidR="00341CED">
          <w:rPr>
            <w:noProof/>
            <w:webHidden/>
          </w:rPr>
        </w:r>
        <w:r w:rsidRPr="00341CED" w:rsidR="00341CED">
          <w:rPr>
            <w:noProof/>
            <w:webHidden/>
          </w:rPr>
          <w:fldChar w:fldCharType="separate"/>
        </w:r>
        <w:r w:rsidR="00E53870">
          <w:rPr>
            <w:noProof/>
            <w:webHidden/>
          </w:rPr>
          <w:t>7</w:t>
        </w:r>
        <w:r w:rsidRPr="00341CED" w:rsidR="00341CED">
          <w:rPr>
            <w:noProof/>
            <w:webHidden/>
          </w:rPr>
          <w:fldChar w:fldCharType="end"/>
        </w:r>
      </w:hyperlink>
    </w:p>
    <w:p w:rsidRPr="00341CED" w:rsidR="00341CED" w:rsidRDefault="00885430" w14:paraId="331A06CF" w14:textId="1A1BB1E2">
      <w:pPr>
        <w:pStyle w:val="TOC1"/>
        <w:rPr>
          <w:rFonts w:asciiTheme="minorHAnsi" w:hAnsiTheme="minorHAnsi" w:eastAsiaTheme="minorEastAsia" w:cstheme="minorBidi"/>
          <w:noProof/>
        </w:rPr>
      </w:pPr>
      <w:hyperlink w:history="1" w:anchor="_Toc1981601">
        <w:r w:rsidRPr="00341CED" w:rsidR="00341CED">
          <w:rPr>
            <w:rStyle w:val="Hyperlink"/>
            <w:rFonts w:ascii="Cambria" w:hAnsi="Cambria" w:cs="Arial"/>
            <w:bCs/>
            <w:noProof/>
          </w:rPr>
          <w:t>Item 8: Methods of Analysis, Investment Strategies &amp; Risk of Loss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_Toc1981601 \h </w:instrText>
        </w:r>
        <w:r w:rsidRPr="00341CED" w:rsidR="00341CED">
          <w:rPr>
            <w:noProof/>
            <w:webHidden/>
          </w:rPr>
        </w:r>
        <w:r w:rsidRPr="00341CED" w:rsidR="00341CED">
          <w:rPr>
            <w:noProof/>
            <w:webHidden/>
          </w:rPr>
          <w:fldChar w:fldCharType="separate"/>
        </w:r>
        <w:r w:rsidR="00E53870">
          <w:rPr>
            <w:noProof/>
            <w:webHidden/>
          </w:rPr>
          <w:t>7</w:t>
        </w:r>
        <w:r w:rsidRPr="00341CED" w:rsidR="00341CED">
          <w:rPr>
            <w:noProof/>
            <w:webHidden/>
          </w:rPr>
          <w:fldChar w:fldCharType="end"/>
        </w:r>
      </w:hyperlink>
    </w:p>
    <w:p w:rsidRPr="00341CED" w:rsidR="00341CED" w:rsidRDefault="00885430" w14:paraId="08840CD1" w14:textId="6765C9C2">
      <w:pPr>
        <w:pStyle w:val="TOC1"/>
        <w:rPr>
          <w:rFonts w:asciiTheme="minorHAnsi" w:hAnsiTheme="minorHAnsi" w:eastAsiaTheme="minorEastAsia" w:cstheme="minorBidi"/>
          <w:noProof/>
        </w:rPr>
      </w:pPr>
      <w:hyperlink w:history="1" w:anchor="_Toc1981602">
        <w:r w:rsidRPr="00341CED" w:rsidR="00341CED">
          <w:rPr>
            <w:rStyle w:val="Hyperlink"/>
            <w:rFonts w:ascii="Cambria" w:hAnsi="Cambria" w:cs="Arial"/>
            <w:noProof/>
          </w:rPr>
          <w:t>Item 9: Disciplinary Information</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_Toc1981602 \h </w:instrText>
        </w:r>
        <w:r w:rsidRPr="00341CED" w:rsidR="00341CED">
          <w:rPr>
            <w:noProof/>
            <w:webHidden/>
          </w:rPr>
        </w:r>
        <w:r w:rsidRPr="00341CED" w:rsidR="00341CED">
          <w:rPr>
            <w:noProof/>
            <w:webHidden/>
          </w:rPr>
          <w:fldChar w:fldCharType="separate"/>
        </w:r>
        <w:r w:rsidR="00E53870">
          <w:rPr>
            <w:noProof/>
            <w:webHidden/>
          </w:rPr>
          <w:t>10</w:t>
        </w:r>
        <w:r w:rsidRPr="00341CED" w:rsidR="00341CED">
          <w:rPr>
            <w:noProof/>
            <w:webHidden/>
          </w:rPr>
          <w:fldChar w:fldCharType="end"/>
        </w:r>
      </w:hyperlink>
    </w:p>
    <w:p w:rsidRPr="00341CED" w:rsidR="00341CED" w:rsidRDefault="00885430" w14:paraId="4CEC6AB1" w14:textId="036B3FE3">
      <w:pPr>
        <w:pStyle w:val="TOC1"/>
        <w:rPr>
          <w:rFonts w:asciiTheme="minorHAnsi" w:hAnsiTheme="minorHAnsi" w:eastAsiaTheme="minorEastAsia" w:cstheme="minorBidi"/>
          <w:noProof/>
        </w:rPr>
      </w:pPr>
      <w:hyperlink w:history="1" w:anchor="_Toc1981603">
        <w:r w:rsidRPr="00341CED" w:rsidR="00341CED">
          <w:rPr>
            <w:rStyle w:val="Hyperlink"/>
            <w:rFonts w:ascii="Cambria" w:hAnsi="Cambria" w:cs="Arial"/>
            <w:noProof/>
          </w:rPr>
          <w:t>Item 10: Other Financial Industry Activities &amp; Affiliations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_Toc1981603 \h </w:instrText>
        </w:r>
        <w:r w:rsidRPr="00341CED" w:rsidR="00341CED">
          <w:rPr>
            <w:noProof/>
            <w:webHidden/>
          </w:rPr>
        </w:r>
        <w:r w:rsidRPr="00341CED" w:rsidR="00341CED">
          <w:rPr>
            <w:noProof/>
            <w:webHidden/>
          </w:rPr>
          <w:fldChar w:fldCharType="separate"/>
        </w:r>
        <w:r w:rsidR="00E53870">
          <w:rPr>
            <w:noProof/>
            <w:webHidden/>
          </w:rPr>
          <w:t>10</w:t>
        </w:r>
        <w:r w:rsidRPr="00341CED" w:rsidR="00341CED">
          <w:rPr>
            <w:noProof/>
            <w:webHidden/>
          </w:rPr>
          <w:fldChar w:fldCharType="end"/>
        </w:r>
      </w:hyperlink>
    </w:p>
    <w:p w:rsidRPr="00341CED" w:rsidR="00341CED" w:rsidRDefault="00885430" w14:paraId="24C5EE0E" w14:textId="47F9A200">
      <w:pPr>
        <w:pStyle w:val="TOC1"/>
        <w:rPr>
          <w:rFonts w:asciiTheme="minorHAnsi" w:hAnsiTheme="minorHAnsi" w:eastAsiaTheme="minorEastAsia" w:cstheme="minorBidi"/>
          <w:noProof/>
        </w:rPr>
      </w:pPr>
      <w:hyperlink w:history="1" w:anchor="_Toc1981604">
        <w:r w:rsidRPr="00341CED" w:rsidR="00341CED">
          <w:rPr>
            <w:rStyle w:val="Hyperlink"/>
            <w:rFonts w:ascii="Cambria" w:hAnsi="Cambria" w:cs="Arial"/>
            <w:noProof/>
          </w:rPr>
          <w:t>Item 11: Code of Ethics, Participation or Interest in</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_Toc1981604 \h </w:instrText>
        </w:r>
        <w:r w:rsidRPr="00341CED" w:rsidR="00341CED">
          <w:rPr>
            <w:noProof/>
            <w:webHidden/>
          </w:rPr>
        </w:r>
        <w:r w:rsidRPr="00341CED" w:rsidR="00341CED">
          <w:rPr>
            <w:noProof/>
            <w:webHidden/>
          </w:rPr>
          <w:fldChar w:fldCharType="separate"/>
        </w:r>
        <w:r w:rsidR="00E53870">
          <w:rPr>
            <w:noProof/>
            <w:webHidden/>
          </w:rPr>
          <w:t>10</w:t>
        </w:r>
        <w:r w:rsidRPr="00341CED" w:rsidR="00341CED">
          <w:rPr>
            <w:noProof/>
            <w:webHidden/>
          </w:rPr>
          <w:fldChar w:fldCharType="end"/>
        </w:r>
      </w:hyperlink>
    </w:p>
    <w:p w:rsidRPr="00341CED" w:rsidR="00341CED" w:rsidRDefault="00885430" w14:paraId="584A5C30" w14:textId="028BA918">
      <w:pPr>
        <w:pStyle w:val="TOC1"/>
        <w:rPr>
          <w:rFonts w:asciiTheme="minorHAnsi" w:hAnsiTheme="minorHAnsi" w:eastAsiaTheme="minorEastAsia" w:cstheme="minorBidi"/>
          <w:noProof/>
        </w:rPr>
      </w:pPr>
      <w:hyperlink w:history="1" w:anchor="_Toc1981605">
        <w:r w:rsidRPr="00341CED" w:rsidR="00341CED">
          <w:rPr>
            <w:rStyle w:val="Hyperlink"/>
            <w:rFonts w:ascii="Cambria" w:hAnsi="Cambria" w:cs="Arial"/>
            <w:noProof/>
          </w:rPr>
          <w:t>Item 12: Brokerage Practices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_Toc1981605 \h </w:instrText>
        </w:r>
        <w:r w:rsidRPr="00341CED" w:rsidR="00341CED">
          <w:rPr>
            <w:noProof/>
            <w:webHidden/>
          </w:rPr>
        </w:r>
        <w:r w:rsidRPr="00341CED" w:rsidR="00341CED">
          <w:rPr>
            <w:noProof/>
            <w:webHidden/>
          </w:rPr>
          <w:fldChar w:fldCharType="separate"/>
        </w:r>
        <w:r w:rsidR="00E53870">
          <w:rPr>
            <w:noProof/>
            <w:webHidden/>
          </w:rPr>
          <w:t>11</w:t>
        </w:r>
        <w:r w:rsidRPr="00341CED" w:rsidR="00341CED">
          <w:rPr>
            <w:noProof/>
            <w:webHidden/>
          </w:rPr>
          <w:fldChar w:fldCharType="end"/>
        </w:r>
      </w:hyperlink>
    </w:p>
    <w:p w:rsidRPr="00341CED" w:rsidR="00341CED" w:rsidRDefault="00885430" w14:paraId="37BF73C1" w14:textId="0EC2D0AF">
      <w:pPr>
        <w:pStyle w:val="TOC1"/>
        <w:rPr>
          <w:rFonts w:asciiTheme="minorHAnsi" w:hAnsiTheme="minorHAnsi" w:eastAsiaTheme="minorEastAsia" w:cstheme="minorBidi"/>
          <w:noProof/>
        </w:rPr>
      </w:pPr>
      <w:hyperlink w:history="1" w:anchor="_Toc1981606">
        <w:r w:rsidRPr="00341CED" w:rsidR="00341CED">
          <w:rPr>
            <w:rStyle w:val="Hyperlink"/>
            <w:rFonts w:ascii="Cambria" w:hAnsi="Cambria" w:cs="Arial"/>
            <w:noProof/>
          </w:rPr>
          <w:t>Item 13: Review of Accounts or Financial Plans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_Toc1981606 \h </w:instrText>
        </w:r>
        <w:r w:rsidRPr="00341CED" w:rsidR="00341CED">
          <w:rPr>
            <w:noProof/>
            <w:webHidden/>
          </w:rPr>
        </w:r>
        <w:r w:rsidRPr="00341CED" w:rsidR="00341CED">
          <w:rPr>
            <w:noProof/>
            <w:webHidden/>
          </w:rPr>
          <w:fldChar w:fldCharType="separate"/>
        </w:r>
        <w:r w:rsidR="00E53870">
          <w:rPr>
            <w:noProof/>
            <w:webHidden/>
          </w:rPr>
          <w:t>15</w:t>
        </w:r>
        <w:r w:rsidRPr="00341CED" w:rsidR="00341CED">
          <w:rPr>
            <w:noProof/>
            <w:webHidden/>
          </w:rPr>
          <w:fldChar w:fldCharType="end"/>
        </w:r>
      </w:hyperlink>
    </w:p>
    <w:p w:rsidRPr="00341CED" w:rsidR="00341CED" w:rsidRDefault="00885430" w14:paraId="46C8968B" w14:textId="5CB7ACEF">
      <w:pPr>
        <w:pStyle w:val="TOC1"/>
        <w:rPr>
          <w:rFonts w:asciiTheme="minorHAnsi" w:hAnsiTheme="minorHAnsi" w:eastAsiaTheme="minorEastAsia" w:cstheme="minorBidi"/>
          <w:noProof/>
        </w:rPr>
      </w:pPr>
      <w:hyperlink w:history="1" w:anchor="_Toc1981607">
        <w:r w:rsidRPr="00341CED" w:rsidR="00341CED">
          <w:rPr>
            <w:rStyle w:val="Hyperlink"/>
            <w:rFonts w:ascii="Cambria" w:hAnsi="Cambria" w:cs="Arial"/>
            <w:noProof/>
          </w:rPr>
          <w:t>Item 14: Client Referrals &amp; Other Compensation</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_Toc1981607 \h </w:instrText>
        </w:r>
        <w:r w:rsidRPr="00341CED" w:rsidR="00341CED">
          <w:rPr>
            <w:noProof/>
            <w:webHidden/>
          </w:rPr>
        </w:r>
        <w:r w:rsidRPr="00341CED" w:rsidR="00341CED">
          <w:rPr>
            <w:noProof/>
            <w:webHidden/>
          </w:rPr>
          <w:fldChar w:fldCharType="separate"/>
        </w:r>
        <w:r w:rsidR="00E53870">
          <w:rPr>
            <w:noProof/>
            <w:webHidden/>
          </w:rPr>
          <w:t>16</w:t>
        </w:r>
        <w:r w:rsidRPr="00341CED" w:rsidR="00341CED">
          <w:rPr>
            <w:noProof/>
            <w:webHidden/>
          </w:rPr>
          <w:fldChar w:fldCharType="end"/>
        </w:r>
      </w:hyperlink>
    </w:p>
    <w:p w:rsidRPr="00341CED" w:rsidR="00341CED" w:rsidRDefault="00885430" w14:paraId="18442DC3" w14:textId="6F6777BF">
      <w:pPr>
        <w:pStyle w:val="TOC1"/>
        <w:rPr>
          <w:rFonts w:asciiTheme="minorHAnsi" w:hAnsiTheme="minorHAnsi" w:eastAsiaTheme="minorEastAsia" w:cstheme="minorBidi"/>
          <w:noProof/>
        </w:rPr>
      </w:pPr>
      <w:hyperlink w:history="1" w:anchor="_Toc1981608">
        <w:r w:rsidRPr="00341CED" w:rsidR="00341CED">
          <w:rPr>
            <w:rStyle w:val="Hyperlink"/>
            <w:rFonts w:ascii="Cambria" w:hAnsi="Cambria" w:cs="Arial"/>
            <w:noProof/>
          </w:rPr>
          <w:t>Item 15: Custody</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_Toc1981608 \h </w:instrText>
        </w:r>
        <w:r w:rsidRPr="00341CED" w:rsidR="00341CED">
          <w:rPr>
            <w:noProof/>
            <w:webHidden/>
          </w:rPr>
        </w:r>
        <w:r w:rsidRPr="00341CED" w:rsidR="00341CED">
          <w:rPr>
            <w:noProof/>
            <w:webHidden/>
          </w:rPr>
          <w:fldChar w:fldCharType="separate"/>
        </w:r>
        <w:r w:rsidR="00E53870">
          <w:rPr>
            <w:noProof/>
            <w:webHidden/>
          </w:rPr>
          <w:t>16</w:t>
        </w:r>
        <w:r w:rsidRPr="00341CED" w:rsidR="00341CED">
          <w:rPr>
            <w:noProof/>
            <w:webHidden/>
          </w:rPr>
          <w:fldChar w:fldCharType="end"/>
        </w:r>
      </w:hyperlink>
    </w:p>
    <w:p w:rsidRPr="00341CED" w:rsidR="00341CED" w:rsidRDefault="00885430" w14:paraId="0A9C4E76" w14:textId="489ADFB5">
      <w:pPr>
        <w:pStyle w:val="TOC1"/>
        <w:rPr>
          <w:rFonts w:asciiTheme="minorHAnsi" w:hAnsiTheme="minorHAnsi" w:eastAsiaTheme="minorEastAsia" w:cstheme="minorBidi"/>
          <w:noProof/>
        </w:rPr>
      </w:pPr>
      <w:hyperlink w:history="1" w:anchor="_Toc1981609">
        <w:r w:rsidRPr="00341CED" w:rsidR="00341CED">
          <w:rPr>
            <w:rStyle w:val="Hyperlink"/>
            <w:rFonts w:ascii="Cambria" w:hAnsi="Cambria" w:cs="Arial"/>
            <w:noProof/>
          </w:rPr>
          <w:t>Item 16: Investment Discretion</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_Toc1981609 \h </w:instrText>
        </w:r>
        <w:r w:rsidRPr="00341CED" w:rsidR="00341CED">
          <w:rPr>
            <w:noProof/>
            <w:webHidden/>
          </w:rPr>
        </w:r>
        <w:r w:rsidRPr="00341CED" w:rsidR="00341CED">
          <w:rPr>
            <w:noProof/>
            <w:webHidden/>
          </w:rPr>
          <w:fldChar w:fldCharType="separate"/>
        </w:r>
        <w:r w:rsidR="00E53870">
          <w:rPr>
            <w:noProof/>
            <w:webHidden/>
          </w:rPr>
          <w:t>17</w:t>
        </w:r>
        <w:r w:rsidRPr="00341CED" w:rsidR="00341CED">
          <w:rPr>
            <w:noProof/>
            <w:webHidden/>
          </w:rPr>
          <w:fldChar w:fldCharType="end"/>
        </w:r>
      </w:hyperlink>
    </w:p>
    <w:p w:rsidRPr="00341CED" w:rsidR="00341CED" w:rsidRDefault="00885430" w14:paraId="297AB652" w14:textId="1FBBB1D3">
      <w:pPr>
        <w:pStyle w:val="TOC1"/>
        <w:rPr>
          <w:rFonts w:asciiTheme="minorHAnsi" w:hAnsiTheme="minorHAnsi" w:eastAsiaTheme="minorEastAsia" w:cstheme="minorBidi"/>
          <w:noProof/>
        </w:rPr>
      </w:pPr>
      <w:hyperlink w:history="1" w:anchor="_Toc1981610">
        <w:r w:rsidRPr="00341CED" w:rsidR="00341CED">
          <w:rPr>
            <w:rStyle w:val="Hyperlink"/>
            <w:rFonts w:ascii="Cambria" w:hAnsi="Cambria" w:cs="Arial"/>
            <w:noProof/>
          </w:rPr>
          <w:t>Item 17: Voting Client Securities</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_Toc1981610 \h </w:instrText>
        </w:r>
        <w:r w:rsidRPr="00341CED" w:rsidR="00341CED">
          <w:rPr>
            <w:noProof/>
            <w:webHidden/>
          </w:rPr>
        </w:r>
        <w:r w:rsidRPr="00341CED" w:rsidR="00341CED">
          <w:rPr>
            <w:noProof/>
            <w:webHidden/>
          </w:rPr>
          <w:fldChar w:fldCharType="separate"/>
        </w:r>
        <w:r w:rsidR="00E53870">
          <w:rPr>
            <w:noProof/>
            <w:webHidden/>
          </w:rPr>
          <w:t>17</w:t>
        </w:r>
        <w:r w:rsidRPr="00341CED" w:rsidR="00341CED">
          <w:rPr>
            <w:noProof/>
            <w:webHidden/>
          </w:rPr>
          <w:fldChar w:fldCharType="end"/>
        </w:r>
      </w:hyperlink>
    </w:p>
    <w:p w:rsidRPr="00341CED" w:rsidR="00341CED" w:rsidRDefault="00885430" w14:paraId="63B13D21" w14:textId="1D9B5609">
      <w:pPr>
        <w:pStyle w:val="TOC1"/>
        <w:rPr>
          <w:rFonts w:asciiTheme="minorHAnsi" w:hAnsiTheme="minorHAnsi" w:eastAsiaTheme="minorEastAsia" w:cstheme="minorBidi"/>
          <w:noProof/>
        </w:rPr>
      </w:pPr>
      <w:hyperlink w:history="1" w:anchor="_Toc1981611">
        <w:r w:rsidRPr="00341CED" w:rsidR="00341CED">
          <w:rPr>
            <w:rStyle w:val="Hyperlink"/>
            <w:rFonts w:ascii="Cambria" w:hAnsi="Cambria" w:cs="Arial"/>
            <w:noProof/>
          </w:rPr>
          <w:t>Item 18: Financial Information</w:t>
        </w:r>
        <w:r w:rsidRPr="00341CED" w:rsidR="00341CED">
          <w:rPr>
            <w:noProof/>
            <w:webHidden/>
          </w:rPr>
          <w:tab/>
        </w:r>
        <w:r w:rsidRPr="00341CED" w:rsidR="00341CED">
          <w:rPr>
            <w:noProof/>
            <w:webHidden/>
          </w:rPr>
          <w:fldChar w:fldCharType="begin"/>
        </w:r>
        <w:r w:rsidRPr="00341CED" w:rsidR="00341CED">
          <w:rPr>
            <w:noProof/>
            <w:webHidden/>
          </w:rPr>
          <w:instrText xml:space="preserve"> PAGEREF _Toc1981611 \h </w:instrText>
        </w:r>
        <w:r w:rsidRPr="00341CED" w:rsidR="00341CED">
          <w:rPr>
            <w:noProof/>
            <w:webHidden/>
          </w:rPr>
        </w:r>
        <w:r w:rsidRPr="00341CED" w:rsidR="00341CED">
          <w:rPr>
            <w:noProof/>
            <w:webHidden/>
          </w:rPr>
          <w:fldChar w:fldCharType="separate"/>
        </w:r>
        <w:r w:rsidR="00E53870">
          <w:rPr>
            <w:noProof/>
            <w:webHidden/>
          </w:rPr>
          <w:t>17</w:t>
        </w:r>
        <w:r w:rsidRPr="00341CED" w:rsidR="00341CED">
          <w:rPr>
            <w:noProof/>
            <w:webHidden/>
          </w:rPr>
          <w:fldChar w:fldCharType="end"/>
        </w:r>
      </w:hyperlink>
    </w:p>
    <w:p w:rsidRPr="00E87509" w:rsidR="00FB5953" w:rsidP="00437BCB" w:rsidRDefault="00E53986" w14:paraId="6D225553" w14:textId="2607C09D">
      <w:pPr>
        <w:spacing w:line="360" w:lineRule="auto"/>
        <w:rPr>
          <w:rFonts w:ascii="Cambria" w:hAnsi="Cambria" w:cs="Arial"/>
        </w:rPr>
      </w:pPr>
      <w:r w:rsidRPr="00341CED">
        <w:rPr>
          <w:rFonts w:cs="Arial" w:asciiTheme="majorHAnsi" w:hAnsiTheme="majorHAnsi"/>
        </w:rPr>
        <w:fldChar w:fldCharType="end"/>
      </w:r>
    </w:p>
    <w:p w:rsidR="00D5302B" w:rsidP="00D5302B" w:rsidRDefault="00D5302B" w14:paraId="59302FC9" w14:textId="77777777">
      <w:pPr>
        <w:autoSpaceDE w:val="0"/>
        <w:autoSpaceDN w:val="0"/>
        <w:rPr>
          <w:rFonts w:ascii="Cambria" w:hAnsi="Cambria" w:cs="Arial"/>
          <w:b/>
          <w:bCs/>
          <w:color w:val="000000"/>
        </w:rPr>
      </w:pPr>
    </w:p>
    <w:p w:rsidR="00EF5B69" w:rsidP="00D5302B" w:rsidRDefault="00EF5B69" w14:paraId="28A61BBF" w14:textId="77777777">
      <w:pPr>
        <w:autoSpaceDE w:val="0"/>
        <w:autoSpaceDN w:val="0"/>
        <w:rPr>
          <w:rFonts w:ascii="Cambria" w:hAnsi="Cambria" w:cs="Arial"/>
          <w:b/>
          <w:bCs/>
          <w:color w:val="000000"/>
        </w:rPr>
      </w:pPr>
    </w:p>
    <w:p w:rsidR="00EF5B69" w:rsidP="00D5302B" w:rsidRDefault="00EF5B69" w14:paraId="07832D2E" w14:textId="77777777">
      <w:pPr>
        <w:autoSpaceDE w:val="0"/>
        <w:autoSpaceDN w:val="0"/>
        <w:rPr>
          <w:rFonts w:ascii="Cambria" w:hAnsi="Cambria" w:cs="Arial"/>
          <w:b/>
          <w:bCs/>
          <w:color w:val="000000"/>
        </w:rPr>
      </w:pPr>
    </w:p>
    <w:p w:rsidR="00EF5B69" w:rsidP="00D5302B" w:rsidRDefault="00EF5B69" w14:paraId="4E68F96E" w14:textId="77777777">
      <w:pPr>
        <w:autoSpaceDE w:val="0"/>
        <w:autoSpaceDN w:val="0"/>
        <w:rPr>
          <w:rFonts w:ascii="Cambria" w:hAnsi="Cambria" w:cs="Arial"/>
          <w:b/>
          <w:bCs/>
          <w:color w:val="000000"/>
        </w:rPr>
      </w:pPr>
    </w:p>
    <w:p w:rsidR="00EF5B69" w:rsidP="00D5302B" w:rsidRDefault="00EF5B69" w14:paraId="2C35C1E3" w14:textId="77777777">
      <w:pPr>
        <w:autoSpaceDE w:val="0"/>
        <w:autoSpaceDN w:val="0"/>
        <w:rPr>
          <w:rFonts w:ascii="Cambria" w:hAnsi="Cambria" w:cs="Arial"/>
          <w:b/>
          <w:bCs/>
          <w:color w:val="000000"/>
        </w:rPr>
      </w:pPr>
    </w:p>
    <w:p w:rsidR="00EF5B69" w:rsidP="00D5302B" w:rsidRDefault="00EF5B69" w14:paraId="255BDB89" w14:textId="77777777">
      <w:pPr>
        <w:autoSpaceDE w:val="0"/>
        <w:autoSpaceDN w:val="0"/>
        <w:rPr>
          <w:rFonts w:ascii="Cambria" w:hAnsi="Cambria" w:cs="Arial"/>
          <w:b/>
          <w:bCs/>
          <w:color w:val="000000"/>
        </w:rPr>
      </w:pPr>
    </w:p>
    <w:p w:rsidR="00EF5B69" w:rsidP="00D5302B" w:rsidRDefault="00EF5B69" w14:paraId="5001E7D7" w14:textId="77777777">
      <w:pPr>
        <w:autoSpaceDE w:val="0"/>
        <w:autoSpaceDN w:val="0"/>
        <w:rPr>
          <w:rFonts w:ascii="Cambria" w:hAnsi="Cambria" w:cs="Arial"/>
          <w:b/>
          <w:bCs/>
          <w:color w:val="000000"/>
        </w:rPr>
      </w:pPr>
    </w:p>
    <w:p w:rsidR="00EF5B69" w:rsidP="00D5302B" w:rsidRDefault="00EF5B69" w14:paraId="74281179" w14:textId="77777777">
      <w:pPr>
        <w:autoSpaceDE w:val="0"/>
        <w:autoSpaceDN w:val="0"/>
        <w:rPr>
          <w:rFonts w:ascii="Cambria" w:hAnsi="Cambria" w:cs="Arial"/>
          <w:b/>
          <w:bCs/>
          <w:color w:val="000000"/>
        </w:rPr>
      </w:pPr>
    </w:p>
    <w:p w:rsidR="00EF5B69" w:rsidP="00D5302B" w:rsidRDefault="00EF5B69" w14:paraId="40333E27" w14:textId="77777777">
      <w:pPr>
        <w:autoSpaceDE w:val="0"/>
        <w:autoSpaceDN w:val="0"/>
        <w:rPr>
          <w:rFonts w:ascii="Cambria" w:hAnsi="Cambria" w:cs="Arial"/>
          <w:b/>
          <w:bCs/>
          <w:color w:val="000000"/>
        </w:rPr>
      </w:pPr>
    </w:p>
    <w:p w:rsidR="00EF5B69" w:rsidP="00D5302B" w:rsidRDefault="00EF5B69" w14:paraId="08E426ED" w14:textId="77777777">
      <w:pPr>
        <w:autoSpaceDE w:val="0"/>
        <w:autoSpaceDN w:val="0"/>
        <w:rPr>
          <w:rFonts w:ascii="Cambria" w:hAnsi="Cambria" w:cs="Arial"/>
          <w:b/>
          <w:bCs/>
          <w:color w:val="000000"/>
        </w:rPr>
      </w:pPr>
    </w:p>
    <w:p w:rsidR="00EF5B69" w:rsidP="00D5302B" w:rsidRDefault="00EF5B69" w14:paraId="33B613E3" w14:textId="77777777">
      <w:pPr>
        <w:autoSpaceDE w:val="0"/>
        <w:autoSpaceDN w:val="0"/>
        <w:rPr>
          <w:rFonts w:ascii="Cambria" w:hAnsi="Cambria" w:cs="Arial"/>
          <w:b/>
          <w:bCs/>
          <w:color w:val="000000"/>
        </w:rPr>
      </w:pPr>
    </w:p>
    <w:p w:rsidR="00EF5B69" w:rsidP="00D5302B" w:rsidRDefault="00EF5B69" w14:paraId="6B25B15F" w14:textId="77777777">
      <w:pPr>
        <w:autoSpaceDE w:val="0"/>
        <w:autoSpaceDN w:val="0"/>
        <w:rPr>
          <w:rFonts w:ascii="Cambria" w:hAnsi="Cambria" w:cs="Arial"/>
          <w:b/>
          <w:bCs/>
          <w:color w:val="000000"/>
        </w:rPr>
      </w:pPr>
    </w:p>
    <w:p w:rsidR="00EF5B69" w:rsidP="00D5302B" w:rsidRDefault="00EF5B69" w14:paraId="20127569" w14:textId="77777777">
      <w:pPr>
        <w:autoSpaceDE w:val="0"/>
        <w:autoSpaceDN w:val="0"/>
        <w:rPr>
          <w:rFonts w:ascii="Cambria" w:hAnsi="Cambria" w:cs="Arial"/>
          <w:b/>
          <w:bCs/>
          <w:color w:val="000000"/>
        </w:rPr>
      </w:pPr>
    </w:p>
    <w:p w:rsidR="00EF5B69" w:rsidP="00D5302B" w:rsidRDefault="00EF5B69" w14:paraId="7F2F0632" w14:textId="77777777">
      <w:pPr>
        <w:autoSpaceDE w:val="0"/>
        <w:autoSpaceDN w:val="0"/>
        <w:rPr>
          <w:rFonts w:ascii="Cambria" w:hAnsi="Cambria" w:cs="Arial"/>
          <w:b/>
          <w:bCs/>
          <w:color w:val="000000"/>
        </w:rPr>
      </w:pPr>
    </w:p>
    <w:p w:rsidR="00EF5B69" w:rsidP="00D5302B" w:rsidRDefault="00EF5B69" w14:paraId="4A0DB030" w14:textId="77777777">
      <w:pPr>
        <w:autoSpaceDE w:val="0"/>
        <w:autoSpaceDN w:val="0"/>
        <w:rPr>
          <w:rFonts w:ascii="Cambria" w:hAnsi="Cambria" w:cs="Arial"/>
          <w:b/>
          <w:bCs/>
          <w:color w:val="000000"/>
        </w:rPr>
      </w:pPr>
    </w:p>
    <w:p w:rsidR="00EF5B69" w:rsidP="00D5302B" w:rsidRDefault="00EF5B69" w14:paraId="0A2CFD61" w14:textId="77777777">
      <w:pPr>
        <w:autoSpaceDE w:val="0"/>
        <w:autoSpaceDN w:val="0"/>
        <w:rPr>
          <w:rFonts w:ascii="Cambria" w:hAnsi="Cambria" w:cs="Arial"/>
          <w:b/>
          <w:bCs/>
          <w:color w:val="000000"/>
        </w:rPr>
      </w:pPr>
    </w:p>
    <w:p w:rsidR="00EF5B69" w:rsidP="00D5302B" w:rsidRDefault="00EF5B69" w14:paraId="7B0120D7" w14:textId="77777777">
      <w:pPr>
        <w:autoSpaceDE w:val="0"/>
        <w:autoSpaceDN w:val="0"/>
        <w:rPr>
          <w:rFonts w:ascii="Cambria" w:hAnsi="Cambria" w:cs="Arial"/>
          <w:b/>
          <w:bCs/>
          <w:color w:val="000000"/>
        </w:rPr>
      </w:pPr>
    </w:p>
    <w:p w:rsidR="00EF5B69" w:rsidP="00D5302B" w:rsidRDefault="00EF5B69" w14:paraId="7555D78E" w14:textId="77777777">
      <w:pPr>
        <w:autoSpaceDE w:val="0"/>
        <w:autoSpaceDN w:val="0"/>
        <w:rPr>
          <w:rFonts w:ascii="Cambria" w:hAnsi="Cambria" w:cs="Arial"/>
          <w:b/>
          <w:bCs/>
          <w:color w:val="000000"/>
        </w:rPr>
      </w:pPr>
    </w:p>
    <w:p w:rsidR="00EF5B69" w:rsidP="00D5302B" w:rsidRDefault="00EF5B69" w14:paraId="793B61BC" w14:textId="77777777">
      <w:pPr>
        <w:autoSpaceDE w:val="0"/>
        <w:autoSpaceDN w:val="0"/>
        <w:rPr>
          <w:rFonts w:ascii="Cambria" w:hAnsi="Cambria" w:cs="Arial"/>
          <w:b/>
          <w:bCs/>
          <w:color w:val="000000"/>
        </w:rPr>
      </w:pPr>
    </w:p>
    <w:p w:rsidR="00EF5B69" w:rsidP="00D5302B" w:rsidRDefault="00EF5B69" w14:paraId="762172F0" w14:textId="77777777">
      <w:pPr>
        <w:autoSpaceDE w:val="0"/>
        <w:autoSpaceDN w:val="0"/>
        <w:rPr>
          <w:rFonts w:ascii="Cambria" w:hAnsi="Cambria" w:cs="Arial"/>
          <w:b/>
          <w:bCs/>
          <w:color w:val="000000"/>
        </w:rPr>
      </w:pPr>
    </w:p>
    <w:p w:rsidR="00EF5B69" w:rsidP="00D5302B" w:rsidRDefault="00EF5B69" w14:paraId="7C4354F3" w14:textId="77777777">
      <w:pPr>
        <w:autoSpaceDE w:val="0"/>
        <w:autoSpaceDN w:val="0"/>
        <w:rPr>
          <w:rFonts w:ascii="Cambria" w:hAnsi="Cambria" w:cs="Arial"/>
          <w:b/>
          <w:bCs/>
          <w:color w:val="000000"/>
        </w:rPr>
      </w:pPr>
    </w:p>
    <w:p w:rsidR="00EF5B69" w:rsidP="00D5302B" w:rsidRDefault="00EF5B69" w14:paraId="3E1EE08B" w14:textId="77777777">
      <w:pPr>
        <w:autoSpaceDE w:val="0"/>
        <w:autoSpaceDN w:val="0"/>
        <w:rPr>
          <w:rFonts w:ascii="Cambria" w:hAnsi="Cambria" w:cs="Arial"/>
          <w:b/>
          <w:bCs/>
          <w:color w:val="000000"/>
        </w:rPr>
      </w:pPr>
    </w:p>
    <w:p w:rsidR="00FE018F" w:rsidP="00D5302B" w:rsidRDefault="00FE018F" w14:paraId="1CFB434D" w14:textId="4A40CCC2">
      <w:pPr>
        <w:autoSpaceDE w:val="0"/>
        <w:autoSpaceDN w:val="0"/>
        <w:rPr>
          <w:rFonts w:ascii="Cambria" w:hAnsi="Cambria" w:cs="Arial"/>
          <w:b/>
          <w:bCs/>
          <w:color w:val="000000"/>
        </w:rPr>
      </w:pPr>
    </w:p>
    <w:p w:rsidR="00B251C3" w:rsidP="00D5302B" w:rsidRDefault="00B251C3" w14:paraId="32FC06BE" w14:textId="77777777">
      <w:pPr>
        <w:autoSpaceDE w:val="0"/>
        <w:autoSpaceDN w:val="0"/>
        <w:rPr>
          <w:rFonts w:ascii="Cambria" w:hAnsi="Cambria" w:cs="Arial"/>
          <w:b/>
          <w:bCs/>
          <w:color w:val="000000"/>
        </w:rPr>
      </w:pPr>
    </w:p>
    <w:p w:rsidR="00EF5B69" w:rsidP="00D5302B" w:rsidRDefault="00EF5B69" w14:paraId="41990E7C" w14:textId="77777777">
      <w:pPr>
        <w:autoSpaceDE w:val="0"/>
        <w:autoSpaceDN w:val="0"/>
        <w:rPr>
          <w:rFonts w:ascii="Cambria" w:hAnsi="Cambria" w:cs="Arial"/>
          <w:b/>
          <w:bCs/>
          <w:color w:val="000000"/>
        </w:rPr>
      </w:pPr>
    </w:p>
    <w:p w:rsidR="00D5302B" w:rsidP="00D60E57" w:rsidRDefault="00D5302B" w14:paraId="10D853B0" w14:textId="77777777">
      <w:pPr>
        <w:autoSpaceDE w:val="0"/>
        <w:autoSpaceDN w:val="0"/>
        <w:rPr>
          <w:rFonts w:ascii="Cambria" w:hAnsi="Cambria" w:cs="Arial"/>
        </w:rPr>
      </w:pPr>
    </w:p>
    <w:p w:rsidRPr="00594E59" w:rsidR="00DF6535" w:rsidP="0002356D" w:rsidRDefault="00DF6535" w14:paraId="49EBADDD"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00EF5B69" w:rsidP="0002356D" w:rsidRDefault="00EF5B69" w14:paraId="23D5E870"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597" w:id="5"/>
      <w:r w:rsidRPr="00DF224D">
        <w:rPr>
          <w:rFonts w:ascii="Cambria" w:hAnsi="Cambria" w:cs="Arial"/>
          <w:b/>
          <w:sz w:val="24"/>
          <w:szCs w:val="24"/>
        </w:rPr>
        <w:t>Item 4: Advisory Business</w:t>
      </w:r>
      <w:bookmarkEnd w:id="5"/>
    </w:p>
    <w:p w:rsidRPr="00594E59" w:rsidR="00EF5B69" w:rsidP="0002356D" w:rsidRDefault="00EF5B69" w14:paraId="6042CEF4"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EF5B69" w:rsidP="00EF5B69" w:rsidRDefault="00EF5B69" w14:paraId="7E0A3E4E" w14:textId="77777777">
      <w:pPr>
        <w:autoSpaceDE w:val="0"/>
        <w:autoSpaceDN w:val="0"/>
        <w:jc w:val="both"/>
        <w:rPr>
          <w:rFonts w:ascii="Cambria" w:hAnsi="Cambria" w:cs="Arial"/>
        </w:rPr>
      </w:pPr>
    </w:p>
    <w:p w:rsidR="00EF5B69" w:rsidP="00EF5B69" w:rsidRDefault="00EF5B69" w14:paraId="6A05241B" w14:textId="40AD0DAC">
      <w:pPr>
        <w:pStyle w:val="CM102"/>
        <w:spacing w:line="231" w:lineRule="atLeast"/>
        <w:jc w:val="both"/>
        <w:rPr>
          <w:rFonts w:ascii="Cambria" w:hAnsi="Cambria" w:cs="Arial"/>
          <w:bCs/>
          <w:color w:val="000000"/>
          <w:sz w:val="22"/>
          <w:szCs w:val="22"/>
        </w:rPr>
      </w:pPr>
      <w:r w:rsidRPr="008F6038">
        <w:rPr>
          <w:rFonts w:ascii="Cambria" w:hAnsi="Cambria" w:cs="Arial"/>
          <w:bCs/>
          <w:color w:val="000000"/>
          <w:sz w:val="22"/>
          <w:szCs w:val="22"/>
        </w:rPr>
        <w:t xml:space="preserve">Our firm </w:t>
      </w:r>
      <w:proofErr w:type="gramStart"/>
      <w:r w:rsidRPr="008F6038">
        <w:rPr>
          <w:rFonts w:ascii="Cambria" w:hAnsi="Cambria" w:cs="Arial"/>
          <w:bCs/>
          <w:color w:val="000000"/>
          <w:sz w:val="22"/>
          <w:szCs w:val="22"/>
        </w:rPr>
        <w:t>is dedicated to providing</w:t>
      </w:r>
      <w:proofErr w:type="gramEnd"/>
      <w:r w:rsidRPr="008F6038">
        <w:rPr>
          <w:rFonts w:ascii="Cambria" w:hAnsi="Cambria" w:cs="Arial"/>
          <w:bCs/>
          <w:color w:val="000000"/>
          <w:sz w:val="22"/>
          <w:szCs w:val="22"/>
        </w:rPr>
        <w:t xml:space="preserve"> individuals and other types of clients with a wide array of investment advisory services. Our firm is </w:t>
      </w:r>
      <w:r w:rsidRPr="0016608D">
        <w:rPr>
          <w:rFonts w:ascii="Cambria" w:hAnsi="Cambria" w:cs="Arial"/>
          <w:bCs/>
          <w:color w:val="000000"/>
          <w:sz w:val="22"/>
          <w:szCs w:val="22"/>
        </w:rPr>
        <w:t>a limited liability company</w:t>
      </w:r>
      <w:r w:rsidRPr="0016608D">
        <w:rPr>
          <w:rFonts w:ascii="Cambria" w:hAnsi="Cambria" w:cs="Arial"/>
          <w:b/>
          <w:bCs/>
          <w:color w:val="000000"/>
          <w:sz w:val="22"/>
          <w:szCs w:val="22"/>
        </w:rPr>
        <w:t xml:space="preserve"> </w:t>
      </w:r>
      <w:r w:rsidRPr="0016608D">
        <w:rPr>
          <w:rFonts w:ascii="Cambria" w:hAnsi="Cambria" w:cs="Arial"/>
          <w:bCs/>
          <w:color w:val="000000"/>
          <w:sz w:val="22"/>
          <w:szCs w:val="22"/>
        </w:rPr>
        <w:t xml:space="preserve">formed under the laws of the State of </w:t>
      </w:r>
      <w:r w:rsidRPr="0016608D" w:rsidR="0016608D">
        <w:rPr>
          <w:rFonts w:ascii="Cambria" w:hAnsi="Cambria" w:cs="Arial"/>
          <w:bCs/>
          <w:color w:val="000000"/>
          <w:sz w:val="22"/>
          <w:szCs w:val="22"/>
        </w:rPr>
        <w:t>Minnesota</w:t>
      </w:r>
      <w:r w:rsidRPr="0016608D">
        <w:rPr>
          <w:rFonts w:ascii="Cambria" w:hAnsi="Cambria" w:cs="Arial"/>
          <w:bCs/>
          <w:color w:val="000000"/>
          <w:sz w:val="22"/>
          <w:szCs w:val="22"/>
        </w:rPr>
        <w:t xml:space="preserve">. Our firm is wholly owned by </w:t>
      </w:r>
      <w:r w:rsidRPr="0016608D" w:rsidR="0016608D">
        <w:rPr>
          <w:rFonts w:ascii="Cambria" w:hAnsi="Cambria" w:cs="Arial"/>
          <w:bCs/>
          <w:color w:val="000000"/>
          <w:sz w:val="22"/>
          <w:szCs w:val="22"/>
        </w:rPr>
        <w:t>Leo Arms</w:t>
      </w:r>
      <w:r w:rsidRPr="0016608D">
        <w:rPr>
          <w:rFonts w:ascii="Cambria" w:hAnsi="Cambria" w:cs="Arial"/>
          <w:bCs/>
          <w:color w:val="000000"/>
          <w:sz w:val="22"/>
          <w:szCs w:val="22"/>
        </w:rPr>
        <w:t>.</w:t>
      </w:r>
      <w:r w:rsidRPr="008F6038">
        <w:rPr>
          <w:rFonts w:ascii="Cambria" w:hAnsi="Cambria" w:cs="Arial"/>
          <w:bCs/>
          <w:color w:val="000000"/>
          <w:sz w:val="22"/>
          <w:szCs w:val="22"/>
        </w:rPr>
        <w:t xml:space="preserve"> </w:t>
      </w:r>
    </w:p>
    <w:p w:rsidR="00EF5B69" w:rsidP="00EF5B69" w:rsidRDefault="00EF5B69" w14:paraId="6246FDB1" w14:textId="77777777"/>
    <w:p w:rsidR="006D7CA9" w:rsidP="00EF5B69" w:rsidRDefault="006D7CA9" w14:paraId="7D2326FD" w14:textId="5AF6880E">
      <w:pPr>
        <w:pStyle w:val="NoSpacing"/>
        <w:jc w:val="both"/>
        <w:rPr>
          <w:rFonts w:ascii="Cambria" w:hAnsi="Cambria" w:cs="Arial"/>
        </w:rPr>
      </w:pPr>
      <w:r>
        <w:rPr>
          <w:rFonts w:ascii="Cambria" w:hAnsi="Cambria" w:cs="Arial"/>
        </w:rPr>
        <w:t>The purpose of this Brochure is to disclose the conflicts of interest associated with the investment transactions, compensation and any other matters related to investment decisions made by our firm or its representatives. As a fiduciary, it is our duty to always act in the client’s best interest. This is accomplished in part by knowing our client. Our firm has established a service-oriented advisory practice with open lines of communication for many different types of clients to help meet their financial goals while remaining sensitive to risk tolerance and time horizons. Working with clients to understand their investment objectives while educating them about our process, facilitates the kind of working relationship we value.</w:t>
      </w:r>
    </w:p>
    <w:p w:rsidR="00FC3317" w:rsidP="005B2BC7" w:rsidRDefault="00FC3317" w14:paraId="2992744F" w14:textId="0DA927D3">
      <w:pPr>
        <w:autoSpaceDE w:val="0"/>
        <w:autoSpaceDN w:val="0"/>
        <w:jc w:val="both"/>
        <w:rPr>
          <w:rFonts w:ascii="Cambria" w:hAnsi="Cambria" w:cs="Arial"/>
        </w:rPr>
      </w:pPr>
    </w:p>
    <w:p w:rsidRPr="00376587" w:rsidR="00FC3317" w:rsidP="00FC3317" w:rsidRDefault="00FC3317" w14:paraId="7284B6CA" w14:textId="55A713E4">
      <w:pPr>
        <w:pStyle w:val="NoSpacing"/>
        <w:pBdr>
          <w:bottom w:val="single" w:color="auto" w:sz="4" w:space="1"/>
        </w:pBdr>
        <w:rPr>
          <w:rFonts w:ascii="Cambria" w:hAnsi="Cambria" w:cs="Arial"/>
          <w:b/>
        </w:rPr>
      </w:pPr>
      <w:r w:rsidRPr="00376587">
        <w:rPr>
          <w:rFonts w:ascii="Cambria" w:hAnsi="Cambria" w:cs="Arial"/>
          <w:b/>
        </w:rPr>
        <w:t xml:space="preserve">Types of Advisory Services </w:t>
      </w:r>
      <w:r w:rsidR="00EF5B69">
        <w:rPr>
          <w:rFonts w:ascii="Cambria" w:hAnsi="Cambria" w:cs="Arial"/>
          <w:b/>
        </w:rPr>
        <w:t>Offered</w:t>
      </w:r>
    </w:p>
    <w:p w:rsidRPr="00376587" w:rsidR="00FC3317" w:rsidP="00FC3317" w:rsidRDefault="00FC3317" w14:paraId="68655725" w14:textId="77777777">
      <w:pPr>
        <w:pStyle w:val="NoSpacing"/>
        <w:rPr>
          <w:rFonts w:ascii="Cambria" w:hAnsi="Cambria" w:cs="Arial"/>
        </w:rPr>
      </w:pPr>
    </w:p>
    <w:p w:rsidRPr="00FC3317" w:rsidR="00707F11" w:rsidP="00FC3317" w:rsidRDefault="001E09E7" w14:paraId="12CD18B6" w14:textId="77777777">
      <w:pPr>
        <w:pStyle w:val="NoSpacing"/>
        <w:rPr>
          <w:rFonts w:ascii="Cambria" w:hAnsi="Cambria" w:cs="Arial"/>
          <w:b/>
        </w:rPr>
      </w:pPr>
      <w:r w:rsidRPr="00FC3317">
        <w:rPr>
          <w:rFonts w:ascii="Cambria" w:hAnsi="Cambria" w:cs="Arial"/>
          <w:b/>
        </w:rPr>
        <w:t>Asset Management:</w:t>
      </w:r>
    </w:p>
    <w:p w:rsidR="001E09E7" w:rsidP="001E09E7" w:rsidRDefault="001E09E7" w14:paraId="6139B1AB" w14:textId="77777777">
      <w:pPr>
        <w:pStyle w:val="NoSpacing"/>
        <w:tabs>
          <w:tab w:val="left" w:pos="360"/>
        </w:tabs>
        <w:ind w:left="1080"/>
        <w:rPr>
          <w:rFonts w:ascii="Cambria" w:hAnsi="Cambria" w:cs="Arial"/>
          <w:u w:val="single"/>
        </w:rPr>
      </w:pPr>
    </w:p>
    <w:p w:rsidRPr="00AC620C" w:rsidR="00950C81" w:rsidP="00950C81" w:rsidRDefault="00950C81" w14:paraId="0EBDB93D" w14:textId="77777777">
      <w:pPr>
        <w:pStyle w:val="NoSpacing"/>
        <w:jc w:val="both"/>
        <w:rPr>
          <w:rFonts w:ascii="Cambria" w:hAnsi="Cambria" w:cs="Arial"/>
          <w:spacing w:val="-3"/>
        </w:rPr>
      </w:pPr>
      <w:r w:rsidRPr="00AC620C">
        <w:rPr>
          <w:rFonts w:ascii="Cambria" w:hAnsi="Cambria" w:cs="Arial"/>
          <w:spacing w:val="-3"/>
        </w:rPr>
        <w:t xml:space="preserve">As part of our Asset Management service, </w:t>
      </w:r>
      <w:r>
        <w:rPr>
          <w:rFonts w:ascii="Cambria" w:hAnsi="Cambria" w:cs="Arial"/>
          <w:spacing w:val="-3"/>
        </w:rPr>
        <w:t>a portfolio is created</w:t>
      </w:r>
      <w:r w:rsidRPr="00AC620C">
        <w:rPr>
          <w:rFonts w:ascii="Cambria" w:hAnsi="Cambria" w:cs="Arial"/>
          <w:spacing w:val="-3"/>
        </w:rPr>
        <w:t xml:space="preserve">, consisting of individual stocks, bonds, exchange traded funds (“ETFs”), options, mutual funds and other public and private securities or investments. The client’s individual investment strategy is tailored to their specific needs and may include some or </w:t>
      </w:r>
      <w:proofErr w:type="gramStart"/>
      <w:r w:rsidRPr="00AC620C">
        <w:rPr>
          <w:rFonts w:ascii="Cambria" w:hAnsi="Cambria" w:cs="Arial"/>
          <w:spacing w:val="-3"/>
        </w:rPr>
        <w:t>all of</w:t>
      </w:r>
      <w:proofErr w:type="gramEnd"/>
      <w:r w:rsidRPr="00AC620C">
        <w:rPr>
          <w:rFonts w:ascii="Cambria" w:hAnsi="Cambria" w:cs="Arial"/>
          <w:spacing w:val="-3"/>
        </w:rPr>
        <w:t xml:space="preserve"> the previously mentioned securities. Portfolios will be designed to meet a particular investment goal, determine</w:t>
      </w:r>
      <w:r>
        <w:rPr>
          <w:rFonts w:ascii="Cambria" w:hAnsi="Cambria" w:cs="Arial"/>
          <w:spacing w:val="-3"/>
        </w:rPr>
        <w:t>d</w:t>
      </w:r>
      <w:r w:rsidRPr="00AC620C">
        <w:rPr>
          <w:rFonts w:ascii="Cambria" w:hAnsi="Cambria" w:cs="Arial"/>
          <w:spacing w:val="-3"/>
        </w:rPr>
        <w:t xml:space="preserve"> to be suitable to the client’s circumstances. Once the appropriate portfolio has been determined, portfolios are continuously and regularly monitored, and if necessary, rebalanced based upon the client’s individual needs, stated goals and objectives.</w:t>
      </w:r>
    </w:p>
    <w:p w:rsidRPr="00E87509" w:rsidR="00145889" w:rsidP="00066A2F" w:rsidRDefault="00145889" w14:paraId="706640B9" w14:textId="518B69D4">
      <w:pPr>
        <w:ind w:left="720"/>
        <w:jc w:val="both"/>
        <w:rPr>
          <w:rFonts w:ascii="Cambria" w:hAnsi="Cambria" w:cs="Arial"/>
        </w:rPr>
      </w:pPr>
    </w:p>
    <w:p w:rsidR="004A1924" w:rsidP="004A1924" w:rsidRDefault="004A1924" w14:paraId="29AE87E6" w14:textId="77777777">
      <w:pPr>
        <w:jc w:val="both"/>
        <w:rPr>
          <w:rFonts w:ascii="Cambria" w:hAnsi="Cambria"/>
          <w:b/>
        </w:rPr>
      </w:pPr>
      <w:r w:rsidRPr="00ED5628">
        <w:rPr>
          <w:rFonts w:ascii="Cambria" w:hAnsi="Cambria"/>
          <w:b/>
        </w:rPr>
        <w:t xml:space="preserve">Institutional Intelligent </w:t>
      </w:r>
      <w:proofErr w:type="spellStart"/>
      <w:r w:rsidRPr="00ED5628">
        <w:rPr>
          <w:rFonts w:ascii="Cambria" w:hAnsi="Cambria"/>
          <w:b/>
        </w:rPr>
        <w:t>Portfolios</w:t>
      </w:r>
      <w:r w:rsidRPr="00ED5628">
        <w:rPr>
          <w:rFonts w:ascii="Cambria" w:hAnsi="Cambria"/>
          <w:b/>
          <w:vertAlign w:val="superscript"/>
        </w:rPr>
        <w:t>TM</w:t>
      </w:r>
      <w:proofErr w:type="spellEnd"/>
      <w:r w:rsidRPr="00ED5628">
        <w:rPr>
          <w:rFonts w:ascii="Cambria" w:hAnsi="Cambria"/>
          <w:b/>
          <w:vertAlign w:val="superscript"/>
        </w:rPr>
        <w:t xml:space="preserve"> </w:t>
      </w:r>
    </w:p>
    <w:p w:rsidR="004A1924" w:rsidP="004A1924" w:rsidRDefault="004A1924" w14:paraId="27A03908" w14:textId="77777777">
      <w:pPr>
        <w:jc w:val="both"/>
        <w:rPr>
          <w:rFonts w:ascii="Cambria" w:hAnsi="Cambria"/>
          <w:b/>
        </w:rPr>
      </w:pPr>
    </w:p>
    <w:p w:rsidR="004A1924" w:rsidP="004A1924" w:rsidRDefault="004A1924" w14:paraId="48B89D68" w14:textId="77777777">
      <w:pPr>
        <w:jc w:val="both"/>
        <w:rPr>
          <w:rFonts w:ascii="Cambria" w:hAnsi="Cambria"/>
        </w:rPr>
      </w:pPr>
      <w:r>
        <w:rPr>
          <w:rFonts w:ascii="Cambria" w:hAnsi="Cambria"/>
        </w:rPr>
        <w:t>Our firm</w:t>
      </w:r>
      <w:r w:rsidRPr="00ED5628">
        <w:rPr>
          <w:rFonts w:ascii="Cambria" w:hAnsi="Cambria"/>
        </w:rPr>
        <w:t xml:space="preserve"> provide</w:t>
      </w:r>
      <w:r>
        <w:rPr>
          <w:rFonts w:ascii="Cambria" w:hAnsi="Cambria"/>
        </w:rPr>
        <w:t>s</w:t>
      </w:r>
      <w:r w:rsidRPr="00ED5628">
        <w:rPr>
          <w:rFonts w:ascii="Cambria" w:hAnsi="Cambria"/>
        </w:rPr>
        <w:t xml:space="preserve"> portfolio management services through Institutional Intelligent Portfolios™, an automated, online investment management platform for use </w:t>
      </w:r>
      <w:r>
        <w:rPr>
          <w:rFonts w:ascii="Cambria" w:hAnsi="Cambria"/>
        </w:rPr>
        <w:t>by independent investment advise</w:t>
      </w:r>
      <w:r w:rsidRPr="00ED5628">
        <w:rPr>
          <w:rFonts w:ascii="Cambria" w:hAnsi="Cambria"/>
        </w:rPr>
        <w:t xml:space="preserve">rs and sponsored by Schwab Wealth Investment Advisory, Inc. (the “Program” and “SWIA,” respectively). Through the Program, </w:t>
      </w:r>
      <w:r>
        <w:rPr>
          <w:rFonts w:ascii="Cambria" w:hAnsi="Cambria"/>
        </w:rPr>
        <w:t>our firm</w:t>
      </w:r>
      <w:r w:rsidRPr="00ED5628">
        <w:rPr>
          <w:rFonts w:ascii="Cambria" w:hAnsi="Cambria"/>
        </w:rPr>
        <w:t xml:space="preserve"> of</w:t>
      </w:r>
      <w:r>
        <w:rPr>
          <w:rFonts w:ascii="Cambria" w:hAnsi="Cambria"/>
        </w:rPr>
        <w:t>f</w:t>
      </w:r>
      <w:r w:rsidRPr="00ED5628">
        <w:rPr>
          <w:rFonts w:ascii="Cambria" w:hAnsi="Cambria"/>
        </w:rPr>
        <w:t>er</w:t>
      </w:r>
      <w:r>
        <w:rPr>
          <w:rFonts w:ascii="Cambria" w:hAnsi="Cambria"/>
        </w:rPr>
        <w:t>s</w:t>
      </w:r>
      <w:r w:rsidRPr="00ED5628">
        <w:rPr>
          <w:rFonts w:ascii="Cambria" w:hAnsi="Cambria"/>
        </w:rPr>
        <w:t xml:space="preserve"> clients a range of investment strategies we have constructed and manage, each consisting of a portfolio of exchange traded funds (“ETFs”) and a cash allocation. The client may instruct </w:t>
      </w:r>
      <w:r>
        <w:rPr>
          <w:rFonts w:ascii="Cambria" w:hAnsi="Cambria"/>
        </w:rPr>
        <w:t>our firm</w:t>
      </w:r>
      <w:r w:rsidRPr="00ED5628">
        <w:rPr>
          <w:rFonts w:ascii="Cambria" w:hAnsi="Cambria"/>
        </w:rPr>
        <w:t xml:space="preserve"> to exclude up to three ETFs from their portfolio. The client’s portfolio is held in a brokerage account opened by the client at SWIA’s affiliate, Charles Schwab &amp; Co., Inc. </w:t>
      </w:r>
      <w:r>
        <w:rPr>
          <w:rFonts w:ascii="Cambria" w:hAnsi="Cambria"/>
        </w:rPr>
        <w:t xml:space="preserve">Our firm is </w:t>
      </w:r>
      <w:r w:rsidRPr="00ED5628">
        <w:rPr>
          <w:rFonts w:ascii="Cambria" w:hAnsi="Cambria"/>
        </w:rPr>
        <w:t xml:space="preserve">independent of and not owned by, affiliated with, or sponsored or supervised by SWIA, </w:t>
      </w:r>
      <w:r>
        <w:rPr>
          <w:rFonts w:ascii="Cambria" w:hAnsi="Cambria"/>
        </w:rPr>
        <w:t>Schwab</w:t>
      </w:r>
      <w:r w:rsidRPr="00ED5628">
        <w:rPr>
          <w:rFonts w:ascii="Cambria" w:hAnsi="Cambria"/>
        </w:rPr>
        <w:t xml:space="preserve"> or their affiliates (together, “Schwab”). The Program is described in the Schwab Wealth Investment Advisory, Inc. Institutional Intelligent Portfolios™ Disclosure Brochure (the “Program Disclosure Brochure”), which is delivered to clients by SWIA during the online enrollment process.</w:t>
      </w:r>
      <w:r>
        <w:rPr>
          <w:rFonts w:ascii="Cambria" w:hAnsi="Cambria"/>
        </w:rPr>
        <w:t xml:space="preserve"> </w:t>
      </w:r>
      <w:r w:rsidRPr="003B417D">
        <w:rPr>
          <w:rFonts w:ascii="Cambria" w:hAnsi="Cambria"/>
        </w:rPr>
        <w:t>The minimum investment required to open an account in the Program is $5,000.</w:t>
      </w:r>
    </w:p>
    <w:p w:rsidR="004A1924" w:rsidP="004A1924" w:rsidRDefault="004A1924" w14:paraId="6D7B6CC7" w14:textId="77777777">
      <w:pPr>
        <w:jc w:val="both"/>
        <w:rPr>
          <w:rFonts w:ascii="Cambria" w:hAnsi="Cambria"/>
        </w:rPr>
      </w:pPr>
    </w:p>
    <w:p w:rsidR="004A1924" w:rsidP="004A1924" w:rsidRDefault="004A1924" w14:paraId="330911DE" w14:textId="77777777">
      <w:pPr>
        <w:jc w:val="both"/>
        <w:rPr>
          <w:rFonts w:ascii="Cambria" w:hAnsi="Cambria"/>
        </w:rPr>
      </w:pPr>
      <w:r>
        <w:rPr>
          <w:rFonts w:ascii="Cambria" w:hAnsi="Cambria"/>
        </w:rPr>
        <w:t xml:space="preserve">Our firm, and not Schwab, is the client’s investment adviser and primary point of contact with respect to the Program. Our firm is solely responsible, and Schwab is not responsible, for determining the appropriateness of the Program for the client, choosing a suitable investment strategy and portfolio for the client’s investment needs and goals, and managing that portfolio on an ongoing basis. SWIA’s </w:t>
      </w:r>
      <w:r>
        <w:rPr>
          <w:rFonts w:ascii="Cambria" w:hAnsi="Cambria"/>
        </w:rPr>
        <w:lastRenderedPageBreak/>
        <w:t xml:space="preserve">role is limited to delivering the </w:t>
      </w:r>
      <w:r w:rsidRPr="00ED5628">
        <w:rPr>
          <w:rFonts w:ascii="Cambria" w:hAnsi="Cambria"/>
        </w:rPr>
        <w:t>Program Disclosure Brochure</w:t>
      </w:r>
      <w:r>
        <w:rPr>
          <w:rFonts w:ascii="Cambria" w:hAnsi="Cambria"/>
        </w:rPr>
        <w:t xml:space="preserve"> to clients and administering the Program so that it operates as described in the </w:t>
      </w:r>
      <w:r w:rsidRPr="00ED5628">
        <w:rPr>
          <w:rFonts w:ascii="Cambria" w:hAnsi="Cambria"/>
        </w:rPr>
        <w:t>Program Disclosure Brochure</w:t>
      </w:r>
      <w:r>
        <w:rPr>
          <w:rFonts w:ascii="Cambria" w:hAnsi="Cambria"/>
        </w:rPr>
        <w:t xml:space="preserve">. </w:t>
      </w:r>
    </w:p>
    <w:p w:rsidR="004A1924" w:rsidP="004A1924" w:rsidRDefault="004A1924" w14:paraId="7DFF49FC" w14:textId="77777777">
      <w:pPr>
        <w:jc w:val="both"/>
        <w:rPr>
          <w:rFonts w:ascii="Cambria" w:hAnsi="Cambria"/>
        </w:rPr>
      </w:pPr>
    </w:p>
    <w:p w:rsidR="004A1924" w:rsidP="004A1924" w:rsidRDefault="004A1924" w14:paraId="1A8C607B" w14:textId="795B1173">
      <w:pPr>
        <w:pStyle w:val="NoSpacing"/>
        <w:jc w:val="both"/>
        <w:rPr>
          <w:rFonts w:ascii="Cambria" w:hAnsi="Cambria"/>
        </w:rPr>
      </w:pPr>
      <w:r>
        <w:rPr>
          <w:rFonts w:ascii="Cambria" w:hAnsi="Cambria"/>
        </w:rPr>
        <w:t xml:space="preserve">Our firm has contracted with SWIA to provide the technology platform and related trading and account management services for the Program. This platform enables our firm to make the Program available to clients online and includes a system that automates certain key parts of the investment process (the “System”). The System includes an </w:t>
      </w:r>
      <w:r w:rsidRPr="00ED5628">
        <w:rPr>
          <w:rFonts w:ascii="Cambria" w:hAnsi="Cambria"/>
        </w:rPr>
        <w:t xml:space="preserve">online questionnaire that helps </w:t>
      </w:r>
      <w:r>
        <w:rPr>
          <w:rFonts w:ascii="Cambria" w:hAnsi="Cambria"/>
        </w:rPr>
        <w:t>our firm</w:t>
      </w:r>
      <w:r w:rsidRPr="00ED5628">
        <w:rPr>
          <w:rFonts w:ascii="Cambria" w:hAnsi="Cambria"/>
        </w:rPr>
        <w:t xml:space="preserve"> determine client investment objectives and risk tolerance and select an</w:t>
      </w:r>
      <w:r w:rsidRPr="00ED5628">
        <w:t xml:space="preserve"> </w:t>
      </w:r>
      <w:r w:rsidRPr="00ED5628">
        <w:rPr>
          <w:rFonts w:ascii="Cambria" w:hAnsi="Cambria"/>
        </w:rPr>
        <w:t>appropriate investment strategy and portfolio</w:t>
      </w:r>
      <w:r>
        <w:rPr>
          <w:rFonts w:ascii="Cambria" w:hAnsi="Cambria"/>
        </w:rPr>
        <w:t xml:space="preserve">. </w:t>
      </w:r>
      <w:r w:rsidRPr="00ED5628">
        <w:rPr>
          <w:rFonts w:ascii="Cambria" w:hAnsi="Cambria"/>
        </w:rPr>
        <w:t xml:space="preserve">Clients should note that </w:t>
      </w:r>
      <w:r>
        <w:rPr>
          <w:rFonts w:ascii="Cambria" w:hAnsi="Cambria"/>
        </w:rPr>
        <w:t>our firm</w:t>
      </w:r>
      <w:r w:rsidRPr="00ED5628">
        <w:rPr>
          <w:rFonts w:ascii="Cambria" w:hAnsi="Cambria"/>
        </w:rPr>
        <w:t xml:space="preserve"> will recommend a portfolio via the System</w:t>
      </w:r>
      <w:r>
        <w:rPr>
          <w:rFonts w:ascii="Cambria" w:hAnsi="Cambria"/>
        </w:rPr>
        <w:t xml:space="preserve"> </w:t>
      </w:r>
      <w:r w:rsidRPr="00ED5628">
        <w:rPr>
          <w:rFonts w:ascii="Cambria" w:hAnsi="Cambria"/>
        </w:rPr>
        <w:t xml:space="preserve">in response to the client’s answers to the online questionnaire. The client may then </w:t>
      </w:r>
      <w:r>
        <w:rPr>
          <w:rFonts w:ascii="Cambria" w:hAnsi="Cambria"/>
        </w:rPr>
        <w:t xml:space="preserve">indicate an interest in a portfolio </w:t>
      </w:r>
      <w:r w:rsidRPr="00ED5628">
        <w:rPr>
          <w:rFonts w:ascii="Cambria" w:hAnsi="Cambria"/>
        </w:rPr>
        <w:t>that is one level less or more conservative or aggressive than the recommended por</w:t>
      </w:r>
      <w:r>
        <w:rPr>
          <w:rFonts w:ascii="Cambria" w:hAnsi="Cambria"/>
        </w:rPr>
        <w:t>tfolio, but our firm will make the f</w:t>
      </w:r>
      <w:r w:rsidRPr="00ED5628">
        <w:rPr>
          <w:rFonts w:ascii="Cambria" w:hAnsi="Cambria"/>
        </w:rPr>
        <w:t>inal</w:t>
      </w:r>
      <w:r>
        <w:rPr>
          <w:rFonts w:ascii="Cambria" w:hAnsi="Cambria"/>
        </w:rPr>
        <w:t xml:space="preserve"> </w:t>
      </w:r>
      <w:r w:rsidRPr="00ED5628">
        <w:rPr>
          <w:rFonts w:ascii="Cambria" w:hAnsi="Cambria"/>
        </w:rPr>
        <w:t xml:space="preserve">decision and select a portfolio based on all the information </w:t>
      </w:r>
      <w:r>
        <w:rPr>
          <w:rFonts w:ascii="Cambria" w:hAnsi="Cambria"/>
        </w:rPr>
        <w:t>made available</w:t>
      </w:r>
      <w:r w:rsidRPr="00ED5628">
        <w:rPr>
          <w:rFonts w:ascii="Cambria" w:hAnsi="Cambria"/>
        </w:rPr>
        <w:t xml:space="preserve"> about the client. The System also includes an</w:t>
      </w:r>
      <w:r>
        <w:rPr>
          <w:rFonts w:ascii="Cambria" w:hAnsi="Cambria"/>
        </w:rPr>
        <w:t xml:space="preserve"> </w:t>
      </w:r>
      <w:r w:rsidRPr="00ED5628">
        <w:rPr>
          <w:rFonts w:ascii="Cambria" w:hAnsi="Cambria"/>
        </w:rPr>
        <w:t>automated investment engine th</w:t>
      </w:r>
      <w:r>
        <w:rPr>
          <w:rFonts w:ascii="Cambria" w:hAnsi="Cambria"/>
        </w:rPr>
        <w:t>rough w</w:t>
      </w:r>
      <w:r w:rsidRPr="00ED5628">
        <w:rPr>
          <w:rFonts w:ascii="Cambria" w:hAnsi="Cambria"/>
        </w:rPr>
        <w:t xml:space="preserve">hich </w:t>
      </w:r>
      <w:r>
        <w:rPr>
          <w:rFonts w:ascii="Cambria" w:hAnsi="Cambria"/>
        </w:rPr>
        <w:t>our firm</w:t>
      </w:r>
      <w:r w:rsidRPr="00ED5628">
        <w:rPr>
          <w:rFonts w:ascii="Cambria" w:hAnsi="Cambria"/>
        </w:rPr>
        <w:t xml:space="preserve"> manage</w:t>
      </w:r>
      <w:r>
        <w:rPr>
          <w:rFonts w:ascii="Cambria" w:hAnsi="Cambria"/>
        </w:rPr>
        <w:t>s</w:t>
      </w:r>
      <w:r w:rsidRPr="00ED5628">
        <w:rPr>
          <w:rFonts w:ascii="Cambria" w:hAnsi="Cambria"/>
        </w:rPr>
        <w:t xml:space="preserve"> the client’s portfolio on an ongoing basis through automatic</w:t>
      </w:r>
      <w:r>
        <w:rPr>
          <w:rFonts w:ascii="Cambria" w:hAnsi="Cambria"/>
        </w:rPr>
        <w:t xml:space="preserve"> </w:t>
      </w:r>
      <w:r w:rsidRPr="00ED5628">
        <w:rPr>
          <w:rFonts w:ascii="Cambria" w:hAnsi="Cambria"/>
        </w:rPr>
        <w:t>rebalancing and tax-loss harvesting (if the client is eligible and elects).</w:t>
      </w:r>
    </w:p>
    <w:p w:rsidR="004A1924" w:rsidP="004A1924" w:rsidRDefault="004A1924" w14:paraId="35B96FCD" w14:textId="00F58E16">
      <w:pPr>
        <w:pStyle w:val="NoSpacing"/>
        <w:jc w:val="both"/>
        <w:rPr>
          <w:rFonts w:ascii="Cambria" w:hAnsi="Cambria"/>
        </w:rPr>
      </w:pPr>
    </w:p>
    <w:p w:rsidRPr="00376587" w:rsidR="00FC3317" w:rsidP="00FC3317" w:rsidRDefault="00FC3317" w14:paraId="64A78D46" w14:textId="77777777">
      <w:pPr>
        <w:pStyle w:val="NoSpacing"/>
        <w:pBdr>
          <w:bottom w:val="single" w:color="auto" w:sz="4" w:space="1"/>
        </w:pBdr>
        <w:jc w:val="both"/>
        <w:rPr>
          <w:rFonts w:ascii="Cambria" w:hAnsi="Cambria" w:cs="Arial"/>
          <w:b/>
        </w:rPr>
      </w:pPr>
      <w:r w:rsidRPr="00376587">
        <w:rPr>
          <w:rFonts w:ascii="Cambria" w:hAnsi="Cambria" w:cs="Arial"/>
          <w:b/>
        </w:rPr>
        <w:t>Tailoring of Advisory Services</w:t>
      </w:r>
    </w:p>
    <w:p w:rsidRPr="00376587" w:rsidR="00FC3317" w:rsidP="00FC3317" w:rsidRDefault="00FC3317" w14:paraId="0AE3A45A" w14:textId="77777777">
      <w:pPr>
        <w:pStyle w:val="NoSpacing"/>
        <w:ind w:left="360"/>
        <w:jc w:val="both"/>
        <w:rPr>
          <w:rFonts w:ascii="Cambria" w:hAnsi="Cambria" w:cs="Arial"/>
        </w:rPr>
      </w:pPr>
    </w:p>
    <w:p w:rsidRPr="004A2397" w:rsidR="00EF5B69" w:rsidP="007D5DDB" w:rsidRDefault="00EF5B69" w14:paraId="5A24D614" w14:textId="60BC6A75">
      <w:pPr>
        <w:jc w:val="both"/>
        <w:rPr>
          <w:rFonts w:ascii="Cambria" w:hAnsi="Cambria" w:cs="Arial"/>
        </w:rPr>
      </w:pPr>
      <w:r w:rsidRPr="004A2397">
        <w:rPr>
          <w:rFonts w:ascii="Cambria" w:hAnsi="Cambria" w:cs="Arial"/>
        </w:rPr>
        <w:t xml:space="preserve">Our firm offers individualized investment advice to our Asset Management clients. </w:t>
      </w:r>
    </w:p>
    <w:p w:rsidRPr="004A2397" w:rsidR="00DF71BE" w:rsidP="00066A2F" w:rsidRDefault="00DF71BE" w14:paraId="6E17EB49" w14:textId="77777777">
      <w:pPr>
        <w:jc w:val="both"/>
        <w:rPr>
          <w:rFonts w:ascii="Cambria" w:hAnsi="Cambria" w:cs="Arial"/>
          <w:u w:val="single"/>
        </w:rPr>
      </w:pPr>
    </w:p>
    <w:p w:rsidRPr="00971AF9" w:rsidR="00EF5B69" w:rsidP="007D5DDB" w:rsidRDefault="00EF5B69" w14:paraId="507259A8" w14:textId="05AB3585">
      <w:pPr>
        <w:jc w:val="both"/>
        <w:rPr>
          <w:rFonts w:ascii="Cambria" w:hAnsi="Cambria"/>
        </w:rPr>
      </w:pPr>
      <w:r w:rsidRPr="004A2397">
        <w:rPr>
          <w:rFonts w:ascii="Cambria" w:hAnsi="Cambria"/>
        </w:rPr>
        <w:t xml:space="preserve">Our firm does not usually allow </w:t>
      </w:r>
      <w:r w:rsidRPr="004A2397">
        <w:rPr>
          <w:rFonts w:ascii="Cambria" w:hAnsi="Cambria" w:cs="Arial"/>
        </w:rPr>
        <w:t xml:space="preserve">Asset Management </w:t>
      </w:r>
      <w:r w:rsidRPr="004A2397" w:rsidR="004A2397">
        <w:rPr>
          <w:rFonts w:ascii="Cambria" w:hAnsi="Cambria"/>
        </w:rPr>
        <w:t>or</w:t>
      </w:r>
      <w:r w:rsidRPr="004A2397">
        <w:rPr>
          <w:rFonts w:ascii="Cambria" w:hAnsi="Cambria" w:cs="Arial"/>
        </w:rPr>
        <w:t xml:space="preserve"> </w:t>
      </w:r>
      <w:r w:rsidRPr="004A2397">
        <w:rPr>
          <w:rFonts w:ascii="Cambria" w:hAnsi="Cambria"/>
        </w:rPr>
        <w:t>clients to impose restrictions on investing in certain securities or types of securities due to the level of difficulty this would entail in managing their account. Exceptions will be made on a case-by-case basis.</w:t>
      </w:r>
    </w:p>
    <w:p w:rsidRPr="00E87509" w:rsidR="000834EA" w:rsidP="00456D0C" w:rsidRDefault="000834EA" w14:paraId="1F480F71" w14:textId="77777777">
      <w:pPr>
        <w:pStyle w:val="CM82"/>
        <w:ind w:left="720" w:hanging="360"/>
        <w:jc w:val="both"/>
        <w:rPr>
          <w:rFonts w:ascii="Cambria" w:hAnsi="Cambria" w:cs="Arial"/>
          <w:color w:val="000000"/>
          <w:sz w:val="22"/>
          <w:szCs w:val="22"/>
        </w:rPr>
      </w:pPr>
    </w:p>
    <w:p w:rsidRPr="00FC3317" w:rsidR="00FC3317" w:rsidP="00FC3317" w:rsidRDefault="00FC3317" w14:paraId="2A852A6F" w14:textId="77777777">
      <w:pPr>
        <w:pBdr>
          <w:bottom w:val="single" w:color="auto" w:sz="4" w:space="1"/>
        </w:pBdr>
        <w:rPr>
          <w:rFonts w:asciiTheme="majorHAnsi" w:hAnsiTheme="majorHAnsi"/>
          <w:b/>
        </w:rPr>
      </w:pPr>
      <w:r w:rsidRPr="00FC3317">
        <w:rPr>
          <w:rFonts w:asciiTheme="majorHAnsi" w:hAnsiTheme="majorHAnsi"/>
          <w:b/>
        </w:rPr>
        <w:t>Participation in Wrap Fee Programs</w:t>
      </w:r>
    </w:p>
    <w:p w:rsidR="00FC3317" w:rsidP="00FC3317" w:rsidRDefault="00FC3317" w14:paraId="51B9A9A2" w14:textId="77777777">
      <w:pPr>
        <w:pStyle w:val="NoSpacing"/>
        <w:jc w:val="both"/>
        <w:rPr>
          <w:rFonts w:ascii="Cambria" w:hAnsi="Cambria" w:cs="Arial"/>
        </w:rPr>
      </w:pPr>
    </w:p>
    <w:p w:rsidRPr="00E87509" w:rsidR="00EF5B69" w:rsidP="00EF5B69" w:rsidRDefault="00EF5B69" w14:paraId="5AAD865D" w14:textId="71383D09">
      <w:pPr>
        <w:pStyle w:val="NoSpacing"/>
        <w:jc w:val="both"/>
        <w:rPr>
          <w:rFonts w:ascii="Cambria" w:hAnsi="Cambria" w:cs="Arial"/>
          <w:iCs/>
          <w:color w:val="000000"/>
        </w:rPr>
      </w:pPr>
      <w:r>
        <w:rPr>
          <w:rFonts w:ascii="Cambria" w:hAnsi="Cambria" w:cs="Arial"/>
          <w:bCs/>
          <w:color w:val="000000"/>
        </w:rPr>
        <w:t>Our firm does not offer or sponsor a wrap fee program.</w:t>
      </w:r>
      <w:r w:rsidR="002571E5">
        <w:rPr>
          <w:rFonts w:ascii="Cambria" w:hAnsi="Cambria" w:cs="Arial"/>
          <w:bCs/>
          <w:color w:val="000000"/>
        </w:rPr>
        <w:t xml:space="preserve"> </w:t>
      </w:r>
    </w:p>
    <w:p w:rsidR="00212E1C" w:rsidP="00FC3317" w:rsidRDefault="00212E1C" w14:paraId="34FCE914" w14:textId="71D95298">
      <w:pPr>
        <w:pStyle w:val="NoSpacing"/>
        <w:jc w:val="both"/>
        <w:rPr>
          <w:rFonts w:ascii="Cambria" w:hAnsi="Cambria" w:cs="Arial"/>
          <w:color w:val="000000"/>
        </w:rPr>
      </w:pPr>
    </w:p>
    <w:p w:rsidRPr="00885430" w:rsidR="00FC3317" w:rsidP="00FC3317" w:rsidRDefault="00FC3317" w14:paraId="65866AC5" w14:textId="77777777">
      <w:pPr>
        <w:pStyle w:val="NoSpacing"/>
        <w:pBdr>
          <w:bottom w:val="single" w:color="auto" w:sz="4" w:space="1"/>
        </w:pBdr>
        <w:jc w:val="both"/>
        <w:rPr>
          <w:rFonts w:ascii="Cambria" w:hAnsi="Cambria" w:cs="Arial"/>
          <w:b/>
          <w:color w:val="000000"/>
        </w:rPr>
      </w:pPr>
      <w:r w:rsidRPr="00885430">
        <w:rPr>
          <w:rFonts w:ascii="Cambria" w:hAnsi="Cambria" w:cs="Arial"/>
          <w:b/>
          <w:color w:val="000000"/>
        </w:rPr>
        <w:t>Regulatory Assets Under Management</w:t>
      </w:r>
    </w:p>
    <w:p w:rsidRPr="00885430" w:rsidR="00FC3317" w:rsidP="00FC3317" w:rsidRDefault="00FC3317" w14:paraId="70BB04D8" w14:textId="77777777">
      <w:pPr>
        <w:pStyle w:val="NoSpacing"/>
        <w:jc w:val="both"/>
        <w:rPr>
          <w:rFonts w:ascii="Cambria" w:hAnsi="Cambria" w:cs="Arial"/>
          <w:color w:val="000000"/>
        </w:rPr>
      </w:pPr>
    </w:p>
    <w:p w:rsidR="00EF5B69" w:rsidP="007D5DDB" w:rsidRDefault="00EF5B69" w14:paraId="51B5C748" w14:textId="2589D13D">
      <w:pPr>
        <w:pStyle w:val="NoSpacing"/>
        <w:jc w:val="both"/>
        <w:rPr>
          <w:rFonts w:ascii="Cambria" w:hAnsi="Cambria" w:cs="Arial"/>
          <w:bCs/>
        </w:rPr>
      </w:pPr>
      <w:r w:rsidRPr="00885430">
        <w:rPr>
          <w:rFonts w:ascii="Cambria" w:hAnsi="Cambria" w:cs="Arial"/>
          <w:bCs/>
        </w:rPr>
        <w:t xml:space="preserve">Our firm manages </w:t>
      </w:r>
      <w:r w:rsidRPr="00885430" w:rsidR="007370A7">
        <w:rPr>
          <w:rFonts w:ascii="Cambria" w:hAnsi="Cambria" w:cs="Arial"/>
          <w:bCs/>
        </w:rPr>
        <w:t>$</w:t>
      </w:r>
      <w:r w:rsidRPr="00885430" w:rsidR="00A336CD">
        <w:rPr>
          <w:rFonts w:ascii="Cambria" w:hAnsi="Cambria" w:cs="Arial"/>
          <w:bCs/>
        </w:rPr>
        <w:t>149</w:t>
      </w:r>
      <w:r w:rsidRPr="00885430" w:rsidR="002A2266">
        <w:rPr>
          <w:rFonts w:ascii="Cambria" w:hAnsi="Cambria" w:cs="Arial"/>
          <w:bCs/>
        </w:rPr>
        <w:t>,</w:t>
      </w:r>
      <w:r w:rsidRPr="00885430" w:rsidR="00A336CD">
        <w:rPr>
          <w:rFonts w:ascii="Cambria" w:hAnsi="Cambria" w:cs="Arial"/>
          <w:bCs/>
        </w:rPr>
        <w:t>650</w:t>
      </w:r>
      <w:r w:rsidRPr="00885430" w:rsidR="002A2266">
        <w:rPr>
          <w:rFonts w:ascii="Cambria" w:hAnsi="Cambria" w:cs="Arial"/>
          <w:bCs/>
        </w:rPr>
        <w:t>,</w:t>
      </w:r>
      <w:r w:rsidRPr="00885430" w:rsidR="00A336CD">
        <w:rPr>
          <w:rFonts w:ascii="Cambria" w:hAnsi="Cambria" w:cs="Arial"/>
          <w:bCs/>
        </w:rPr>
        <w:t xml:space="preserve">005 </w:t>
      </w:r>
      <w:r w:rsidRPr="00885430">
        <w:rPr>
          <w:rFonts w:ascii="Cambria" w:hAnsi="Cambria" w:cs="Arial"/>
          <w:bCs/>
        </w:rPr>
        <w:t>on a discretionary basis and $</w:t>
      </w:r>
      <w:r w:rsidRPr="00885430" w:rsidR="00A336CD">
        <w:rPr>
          <w:rFonts w:ascii="Cambria" w:hAnsi="Cambria" w:cs="Arial"/>
          <w:bCs/>
        </w:rPr>
        <w:t xml:space="preserve">2,578,945 </w:t>
      </w:r>
      <w:r w:rsidRPr="00885430">
        <w:rPr>
          <w:rFonts w:ascii="Cambria" w:hAnsi="Cambria" w:cs="Arial"/>
          <w:bCs/>
        </w:rPr>
        <w:t>on a non-discretionary basis</w:t>
      </w:r>
      <w:r w:rsidRPr="00885430" w:rsidR="00A002F2">
        <w:rPr>
          <w:rFonts w:ascii="Cambria" w:hAnsi="Cambria" w:cs="Arial"/>
          <w:bCs/>
        </w:rPr>
        <w:t xml:space="preserve"> as of </w:t>
      </w:r>
      <w:r w:rsidRPr="00885430" w:rsidR="00B251C3">
        <w:rPr>
          <w:rFonts w:ascii="Cambria" w:hAnsi="Cambria" w:cs="Arial"/>
          <w:bCs/>
        </w:rPr>
        <w:t xml:space="preserve">December </w:t>
      </w:r>
      <w:r w:rsidRPr="00885430" w:rsidR="008175FE">
        <w:rPr>
          <w:rFonts w:ascii="Cambria" w:hAnsi="Cambria" w:cs="Arial"/>
          <w:bCs/>
        </w:rPr>
        <w:t xml:space="preserve">31, </w:t>
      </w:r>
      <w:r w:rsidRPr="00885430" w:rsidR="00613D27">
        <w:rPr>
          <w:rFonts w:ascii="Cambria" w:hAnsi="Cambria" w:cs="Arial"/>
          <w:bCs/>
        </w:rPr>
        <w:t>202</w:t>
      </w:r>
      <w:r w:rsidRPr="00885430" w:rsidR="00A336CD">
        <w:rPr>
          <w:rFonts w:ascii="Cambria" w:hAnsi="Cambria" w:cs="Arial"/>
          <w:bCs/>
        </w:rPr>
        <w:t>1</w:t>
      </w:r>
      <w:r w:rsidRPr="00885430">
        <w:rPr>
          <w:rFonts w:ascii="Cambria" w:hAnsi="Cambria" w:cs="Arial"/>
          <w:bCs/>
        </w:rPr>
        <w:t>.</w:t>
      </w:r>
      <w:r w:rsidRPr="00E87509">
        <w:rPr>
          <w:rFonts w:ascii="Cambria" w:hAnsi="Cambria" w:cs="Arial"/>
          <w:bCs/>
        </w:rPr>
        <w:t xml:space="preserve"> </w:t>
      </w:r>
    </w:p>
    <w:p w:rsidR="00EF5B69" w:rsidP="00EF5B69" w:rsidRDefault="00EF5B69" w14:paraId="6145DD82" w14:textId="1DD25509">
      <w:pPr>
        <w:pStyle w:val="NoSpacing"/>
        <w:ind w:left="360"/>
        <w:jc w:val="both"/>
        <w:rPr>
          <w:rFonts w:ascii="Cambria" w:hAnsi="Cambria" w:cs="Arial"/>
          <w:color w:val="000000"/>
        </w:rPr>
      </w:pPr>
    </w:p>
    <w:p w:rsidRPr="00594E59" w:rsidR="00EF5B69" w:rsidP="0002356D" w:rsidRDefault="00EF5B69" w14:paraId="504FBA9D"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Theme="majorHAnsi" w:hAnsiTheme="majorHAnsi"/>
          <w:b/>
        </w:rPr>
      </w:pPr>
      <w:bookmarkStart w:name="_Toc358989479" w:id="6"/>
    </w:p>
    <w:p w:rsidR="00EF5B69" w:rsidP="0002356D" w:rsidRDefault="00EF5B69" w14:paraId="1DB6F294"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Theme="majorHAnsi" w:hAnsiTheme="majorHAnsi"/>
          <w:b/>
          <w:sz w:val="24"/>
          <w:szCs w:val="24"/>
        </w:rPr>
      </w:pPr>
      <w:bookmarkStart w:name="_Toc1981598" w:id="7"/>
      <w:r w:rsidRPr="00DF224D">
        <w:rPr>
          <w:rFonts w:asciiTheme="majorHAnsi" w:hAnsiTheme="majorHAnsi"/>
          <w:b/>
          <w:sz w:val="24"/>
          <w:szCs w:val="24"/>
        </w:rPr>
        <w:t>Item 5: Fees &amp; Compensation</w:t>
      </w:r>
      <w:bookmarkEnd w:id="6"/>
      <w:bookmarkEnd w:id="7"/>
    </w:p>
    <w:p w:rsidRPr="00594E59" w:rsidR="00EF5B69" w:rsidP="0002356D" w:rsidRDefault="00EF5B69" w14:paraId="0E84CD91"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Theme="majorHAnsi" w:hAnsiTheme="majorHAnsi"/>
          <w:b/>
        </w:rPr>
      </w:pPr>
    </w:p>
    <w:p w:rsidRPr="00DF224D" w:rsidR="00EF5B69" w:rsidP="00EF5B69" w:rsidRDefault="00EF5B69" w14:paraId="17CEF730" w14:textId="77777777">
      <w:pPr>
        <w:pStyle w:val="NoSpacing"/>
        <w:jc w:val="both"/>
        <w:rPr>
          <w:rFonts w:ascii="Cambria" w:hAnsi="Cambria" w:cs="Arial"/>
          <w:b/>
          <w:bCs/>
          <w:sz w:val="16"/>
          <w:szCs w:val="16"/>
        </w:rPr>
      </w:pPr>
    </w:p>
    <w:p w:rsidRPr="00376587" w:rsidR="00FC3317" w:rsidP="00FC3317" w:rsidRDefault="00EF5B69" w14:paraId="7A169F5F" w14:textId="05B30034">
      <w:pPr>
        <w:pStyle w:val="NoSpacing"/>
        <w:pBdr>
          <w:bottom w:val="single" w:color="auto" w:sz="4" w:space="1"/>
        </w:pBdr>
        <w:jc w:val="both"/>
        <w:rPr>
          <w:rFonts w:ascii="Cambria" w:hAnsi="Cambria" w:cs="Arial"/>
          <w:b/>
          <w:bCs/>
        </w:rPr>
      </w:pPr>
      <w:r>
        <w:rPr>
          <w:rFonts w:ascii="Cambria" w:hAnsi="Cambria" w:cs="Arial"/>
          <w:b/>
          <w:bCs/>
        </w:rPr>
        <w:t>Compensation</w:t>
      </w:r>
      <w:r w:rsidRPr="00376587" w:rsidR="00FC3317">
        <w:rPr>
          <w:rFonts w:ascii="Cambria" w:hAnsi="Cambria" w:cs="Arial"/>
          <w:b/>
          <w:bCs/>
        </w:rPr>
        <w:t xml:space="preserve"> for Our Advisory Services</w:t>
      </w:r>
    </w:p>
    <w:p w:rsidRPr="00376587" w:rsidR="00FC3317" w:rsidP="00FC3317" w:rsidRDefault="00FC3317" w14:paraId="50ECEFFA" w14:textId="77777777">
      <w:pPr>
        <w:pStyle w:val="NoSpacing"/>
        <w:jc w:val="both"/>
        <w:rPr>
          <w:rFonts w:ascii="Cambria" w:hAnsi="Cambria" w:cs="Arial"/>
          <w:b/>
          <w:bCs/>
          <w:sz w:val="16"/>
          <w:szCs w:val="16"/>
        </w:rPr>
      </w:pPr>
    </w:p>
    <w:p w:rsidRPr="00FC3317" w:rsidR="009F1E67" w:rsidP="00FC3317" w:rsidRDefault="005959F5" w14:paraId="2CBF3C63" w14:textId="77777777">
      <w:pPr>
        <w:pStyle w:val="NoSpacing"/>
        <w:rPr>
          <w:rFonts w:ascii="Cambria" w:hAnsi="Cambria" w:cs="Arial"/>
          <w:b/>
        </w:rPr>
      </w:pPr>
      <w:r w:rsidRPr="00FC3317">
        <w:rPr>
          <w:rFonts w:ascii="Cambria" w:hAnsi="Cambria" w:cs="Arial"/>
          <w:b/>
        </w:rPr>
        <w:t>Asset Management:</w:t>
      </w:r>
    </w:p>
    <w:p w:rsidR="00A74465" w:rsidP="00EE1644" w:rsidRDefault="00A74465" w14:paraId="7AAAD125" w14:textId="77777777">
      <w:pPr>
        <w:pStyle w:val="NoSpacing"/>
        <w:rPr>
          <w:rFonts w:ascii="Cambria" w:hAnsi="Cambria" w:cs="Arial"/>
        </w:rPr>
      </w:pPr>
    </w:p>
    <w:p w:rsidRPr="00A74465" w:rsidR="00A74465" w:rsidP="009B5E9F" w:rsidRDefault="00B54D86" w14:paraId="1A4E56E7" w14:textId="332CC889">
      <w:pPr>
        <w:pStyle w:val="NoSpacing"/>
        <w:rPr>
          <w:rFonts w:ascii="Cambria" w:hAnsi="Cambria" w:cs="Arial"/>
        </w:rPr>
      </w:pPr>
      <w:r w:rsidRPr="00B54D86">
        <w:rPr>
          <w:rFonts w:ascii="Cambria" w:hAnsi="Cambria" w:cs="Arial"/>
        </w:rPr>
        <w:t xml:space="preserve">The maximum annual fee charged for this service will not exceed </w:t>
      </w:r>
      <w:r>
        <w:rPr>
          <w:rFonts w:ascii="Cambria" w:hAnsi="Cambria" w:cs="Arial"/>
        </w:rPr>
        <w:t>1</w:t>
      </w:r>
      <w:r w:rsidRPr="00B54D86">
        <w:rPr>
          <w:rFonts w:ascii="Cambria" w:hAnsi="Cambria" w:cs="Arial"/>
        </w:rPr>
        <w:t>.00%.</w:t>
      </w:r>
      <w:r>
        <w:rPr>
          <w:rFonts w:ascii="Cambria" w:hAnsi="Cambria" w:cs="Arial"/>
        </w:rPr>
        <w:t xml:space="preserve"> </w:t>
      </w:r>
      <w:r w:rsidR="00474927">
        <w:rPr>
          <w:rFonts w:ascii="Cambria" w:hAnsi="Cambria"/>
        </w:rPr>
        <w:t xml:space="preserve">Fees to be assessed will be outlined in the advisory agreement to be signed by the Client. </w:t>
      </w:r>
      <w:r w:rsidRPr="00EA1FD9" w:rsidR="00EF5B69">
        <w:rPr>
          <w:rFonts w:ascii="Cambria" w:hAnsi="Cambria"/>
        </w:rPr>
        <w:t xml:space="preserve">Annualized fees are billed on a pro-rata basis </w:t>
      </w:r>
      <w:r w:rsidR="00EA1FD9">
        <w:rPr>
          <w:rFonts w:ascii="Cambria" w:hAnsi="Cambria"/>
        </w:rPr>
        <w:t xml:space="preserve">monthly or </w:t>
      </w:r>
      <w:r w:rsidRPr="00885430" w:rsidR="00A32050">
        <w:rPr>
          <w:rFonts w:ascii="Cambria" w:hAnsi="Cambria"/>
        </w:rPr>
        <w:t xml:space="preserve">quarterly </w:t>
      </w:r>
      <w:r w:rsidRPr="00885430" w:rsidR="00EF5B69">
        <w:rPr>
          <w:rFonts w:ascii="Cambria" w:hAnsi="Cambria"/>
        </w:rPr>
        <w:t xml:space="preserve">in </w:t>
      </w:r>
      <w:r w:rsidRPr="00885430" w:rsidR="00EA1FD9">
        <w:rPr>
          <w:rFonts w:ascii="Cambria" w:hAnsi="Cambria"/>
        </w:rPr>
        <w:t xml:space="preserve">advance or </w:t>
      </w:r>
      <w:r w:rsidRPr="00885430" w:rsidR="00EF5B69">
        <w:rPr>
          <w:rFonts w:ascii="Cambria" w:hAnsi="Cambria"/>
        </w:rPr>
        <w:t xml:space="preserve">arrears based on the value of the account(s) on the time-weighted daily average of the </w:t>
      </w:r>
      <w:r w:rsidRPr="00885430" w:rsidR="00A32050">
        <w:rPr>
          <w:rFonts w:ascii="Cambria" w:hAnsi="Cambria"/>
        </w:rPr>
        <w:t>quarter</w:t>
      </w:r>
      <w:r w:rsidRPr="00885430" w:rsidR="009B5E9F">
        <w:rPr>
          <w:rFonts w:ascii="Cambria" w:hAnsi="Cambria"/>
        </w:rPr>
        <w:t>.</w:t>
      </w:r>
      <w:r w:rsidRPr="00885430" w:rsidR="00EF5B69">
        <w:rPr>
          <w:rFonts w:ascii="Cambria" w:hAnsi="Cambria"/>
        </w:rPr>
        <w:t xml:space="preserve"> Fees are negotiable and will be deducted from client account(s).</w:t>
      </w:r>
      <w:r w:rsidRPr="00885430" w:rsidR="00613D27">
        <w:rPr>
          <w:rFonts w:ascii="Cambria" w:hAnsi="Cambria"/>
        </w:rPr>
        <w:t xml:space="preserve"> Adjustments will be </w:t>
      </w:r>
      <w:r w:rsidRPr="00885430" w:rsidR="001029DE">
        <w:rPr>
          <w:rFonts w:ascii="Cambria" w:hAnsi="Cambria"/>
        </w:rPr>
        <w:t xml:space="preserve">made </w:t>
      </w:r>
      <w:r w:rsidRPr="00885430" w:rsidR="00613D27">
        <w:rPr>
          <w:rFonts w:ascii="Cambria" w:hAnsi="Cambria"/>
        </w:rPr>
        <w:t>for deposits and withdrawals</w:t>
      </w:r>
      <w:r w:rsidRPr="00885430" w:rsidR="001029DE">
        <w:rPr>
          <w:rFonts w:ascii="Cambria" w:hAnsi="Cambria"/>
        </w:rPr>
        <w:t xml:space="preserve"> throughout the month or quarter</w:t>
      </w:r>
      <w:r w:rsidRPr="00885430" w:rsidR="00613D27">
        <w:rPr>
          <w:rFonts w:ascii="Cambria" w:hAnsi="Cambria"/>
        </w:rPr>
        <w:t>.</w:t>
      </w:r>
      <w:r w:rsidRPr="00885430" w:rsidR="00EF5B69">
        <w:rPr>
          <w:rFonts w:ascii="Cambria" w:hAnsi="Cambria"/>
        </w:rPr>
        <w:t xml:space="preserve"> </w:t>
      </w:r>
      <w:r w:rsidRPr="00885430" w:rsidR="00EE07FC">
        <w:rPr>
          <w:rFonts w:ascii="Cambria" w:hAnsi="Cambria"/>
        </w:rPr>
        <w:t>In rare cases, our firm will agree to directly invoice. As part of this process, Clients understand the following:</w:t>
      </w:r>
    </w:p>
    <w:p w:rsidRPr="00AC6907" w:rsidR="00C454F6" w:rsidP="00C454F6" w:rsidRDefault="00EF5B69" w14:paraId="4CBB9EF0" w14:textId="6799FC89">
      <w:pPr>
        <w:pStyle w:val="BodyText"/>
        <w:jc w:val="both"/>
        <w:rPr>
          <w:rFonts w:ascii="Cambria" w:hAnsi="Cambria"/>
          <w:sz w:val="22"/>
          <w:szCs w:val="22"/>
        </w:rPr>
      </w:pPr>
      <w:r w:rsidRPr="00EA1FD9">
        <w:rPr>
          <w:rFonts w:ascii="Cambria" w:hAnsi="Cambria" w:cs="Arial"/>
        </w:rPr>
        <w:t xml:space="preserve"> </w:t>
      </w:r>
    </w:p>
    <w:p w:rsidRPr="00AC6907" w:rsidR="00C454F6" w:rsidP="00C454F6" w:rsidRDefault="00C454F6" w14:paraId="54CD4B68" w14:textId="77777777">
      <w:pPr>
        <w:pStyle w:val="BodyText"/>
        <w:numPr>
          <w:ilvl w:val="0"/>
          <w:numId w:val="13"/>
        </w:numPr>
        <w:jc w:val="both"/>
        <w:rPr>
          <w:rFonts w:ascii="Cambria" w:hAnsi="Cambria"/>
          <w:sz w:val="22"/>
          <w:szCs w:val="22"/>
        </w:rPr>
      </w:pPr>
      <w:r>
        <w:rPr>
          <w:rFonts w:ascii="Cambria" w:hAnsi="Cambria"/>
          <w:sz w:val="22"/>
          <w:szCs w:val="22"/>
        </w:rPr>
        <w:lastRenderedPageBreak/>
        <w:t>The client’s</w:t>
      </w:r>
      <w:r w:rsidRPr="000C3792">
        <w:rPr>
          <w:rFonts w:ascii="Cambria" w:hAnsi="Cambria"/>
          <w:sz w:val="22"/>
          <w:szCs w:val="22"/>
        </w:rPr>
        <w:t xml:space="preserve"> independent custodian sends statements at least quarterly showing the market values for each security included in the Assets</w:t>
      </w:r>
      <w:r>
        <w:rPr>
          <w:rFonts w:ascii="Cambria" w:hAnsi="Cambria"/>
          <w:sz w:val="22"/>
          <w:szCs w:val="22"/>
        </w:rPr>
        <w:t xml:space="preserve"> and</w:t>
      </w:r>
      <w:r w:rsidRPr="000C3792">
        <w:rPr>
          <w:rFonts w:ascii="Cambria" w:hAnsi="Cambria"/>
          <w:sz w:val="22"/>
          <w:szCs w:val="22"/>
        </w:rPr>
        <w:t xml:space="preserve"> </w:t>
      </w:r>
      <w:r>
        <w:rPr>
          <w:rFonts w:ascii="Cambria" w:hAnsi="Cambria"/>
          <w:sz w:val="22"/>
          <w:szCs w:val="22"/>
        </w:rPr>
        <w:t xml:space="preserve">all account </w:t>
      </w:r>
      <w:r w:rsidRPr="000C3792">
        <w:rPr>
          <w:rFonts w:ascii="Cambria" w:hAnsi="Cambria"/>
          <w:sz w:val="22"/>
          <w:szCs w:val="22"/>
        </w:rPr>
        <w:t>disbursements</w:t>
      </w:r>
      <w:r>
        <w:rPr>
          <w:rFonts w:ascii="Cambria" w:hAnsi="Cambria"/>
          <w:sz w:val="22"/>
          <w:szCs w:val="22"/>
        </w:rPr>
        <w:t>, including</w:t>
      </w:r>
      <w:r w:rsidRPr="000C3792">
        <w:rPr>
          <w:rFonts w:ascii="Cambria" w:hAnsi="Cambria"/>
          <w:sz w:val="22"/>
          <w:szCs w:val="22"/>
        </w:rPr>
        <w:t xml:space="preserve"> the amount of the advisory fees paid to </w:t>
      </w:r>
      <w:r>
        <w:rPr>
          <w:rFonts w:ascii="Cambria" w:hAnsi="Cambria"/>
          <w:sz w:val="22"/>
          <w:szCs w:val="22"/>
        </w:rPr>
        <w:t xml:space="preserve">our </w:t>
      </w:r>
      <w:proofErr w:type="gramStart"/>
      <w:r>
        <w:rPr>
          <w:rFonts w:ascii="Cambria" w:hAnsi="Cambria"/>
          <w:sz w:val="22"/>
          <w:szCs w:val="22"/>
        </w:rPr>
        <w:t>firm</w:t>
      </w:r>
      <w:r w:rsidRPr="000C3792">
        <w:rPr>
          <w:rFonts w:ascii="Cambria" w:hAnsi="Cambria"/>
          <w:sz w:val="22"/>
          <w:szCs w:val="22"/>
        </w:rPr>
        <w:t>;</w:t>
      </w:r>
      <w:proofErr w:type="gramEnd"/>
    </w:p>
    <w:p w:rsidRPr="00774501" w:rsidR="00C454F6" w:rsidP="00C454F6" w:rsidRDefault="00C454F6" w14:paraId="62D2B609" w14:textId="77777777">
      <w:pPr>
        <w:pStyle w:val="BodyText"/>
        <w:numPr>
          <w:ilvl w:val="0"/>
          <w:numId w:val="13"/>
        </w:numPr>
        <w:jc w:val="both"/>
        <w:rPr>
          <w:rFonts w:ascii="Cambria" w:hAnsi="Cambria"/>
          <w:sz w:val="22"/>
          <w:szCs w:val="22"/>
        </w:rPr>
      </w:pPr>
      <w:r>
        <w:rPr>
          <w:rFonts w:ascii="Cambria" w:hAnsi="Cambria"/>
          <w:sz w:val="22"/>
          <w:szCs w:val="22"/>
        </w:rPr>
        <w:t xml:space="preserve">Clients will </w:t>
      </w:r>
      <w:r w:rsidRPr="0015546F">
        <w:rPr>
          <w:rFonts w:ascii="Cambria" w:hAnsi="Cambria"/>
          <w:sz w:val="22"/>
          <w:szCs w:val="22"/>
        </w:rPr>
        <w:t xml:space="preserve">provide authorization permitting </w:t>
      </w:r>
      <w:r>
        <w:rPr>
          <w:rFonts w:ascii="Cambria" w:hAnsi="Cambria"/>
          <w:sz w:val="22"/>
          <w:szCs w:val="22"/>
        </w:rPr>
        <w:t>our firm</w:t>
      </w:r>
      <w:r w:rsidRPr="0015546F">
        <w:rPr>
          <w:rFonts w:ascii="Cambria" w:hAnsi="Cambria"/>
          <w:sz w:val="22"/>
          <w:szCs w:val="22"/>
        </w:rPr>
        <w:t xml:space="preserve"> to be directly paid by these terms</w:t>
      </w:r>
      <w:r>
        <w:rPr>
          <w:rFonts w:ascii="Cambria" w:hAnsi="Cambria"/>
          <w:sz w:val="22"/>
          <w:szCs w:val="22"/>
        </w:rPr>
        <w:t>. Our firm will send an invoice directly to the custodian</w:t>
      </w:r>
      <w:r w:rsidRPr="0015546F">
        <w:rPr>
          <w:rFonts w:ascii="Cambria" w:hAnsi="Cambria"/>
          <w:sz w:val="22"/>
          <w:szCs w:val="22"/>
        </w:rPr>
        <w:t>;</w:t>
      </w:r>
      <w:r>
        <w:rPr>
          <w:rFonts w:ascii="Cambria" w:hAnsi="Cambria"/>
          <w:sz w:val="22"/>
          <w:szCs w:val="22"/>
        </w:rPr>
        <w:t xml:space="preserve"> and</w:t>
      </w:r>
    </w:p>
    <w:p w:rsidRPr="00774501" w:rsidR="00C454F6" w:rsidP="00C454F6" w:rsidRDefault="00C454F6" w14:paraId="489E6EA1" w14:textId="77777777">
      <w:pPr>
        <w:pStyle w:val="BodyText"/>
        <w:numPr>
          <w:ilvl w:val="0"/>
          <w:numId w:val="13"/>
        </w:numPr>
        <w:jc w:val="both"/>
        <w:rPr>
          <w:rFonts w:ascii="Cambria" w:hAnsi="Cambria"/>
          <w:sz w:val="22"/>
          <w:szCs w:val="22"/>
        </w:rPr>
      </w:pPr>
      <w:r w:rsidRPr="00774501">
        <w:rPr>
          <w:rFonts w:ascii="Cambria" w:hAnsi="Cambria"/>
          <w:sz w:val="22"/>
          <w:szCs w:val="22"/>
        </w:rPr>
        <w:t xml:space="preserve">If </w:t>
      </w:r>
      <w:r>
        <w:rPr>
          <w:rFonts w:ascii="Cambria" w:hAnsi="Cambria"/>
          <w:sz w:val="22"/>
          <w:szCs w:val="22"/>
        </w:rPr>
        <w:t>our firm</w:t>
      </w:r>
      <w:r w:rsidRPr="00774501">
        <w:rPr>
          <w:rFonts w:ascii="Cambria" w:hAnsi="Cambria"/>
          <w:sz w:val="22"/>
          <w:szCs w:val="22"/>
        </w:rPr>
        <w:t xml:space="preserve"> send</w:t>
      </w:r>
      <w:r>
        <w:rPr>
          <w:rFonts w:ascii="Cambria" w:hAnsi="Cambria"/>
          <w:sz w:val="22"/>
          <w:szCs w:val="22"/>
        </w:rPr>
        <w:t>s</w:t>
      </w:r>
      <w:r w:rsidRPr="00774501">
        <w:rPr>
          <w:rFonts w:ascii="Cambria" w:hAnsi="Cambria"/>
          <w:sz w:val="22"/>
          <w:szCs w:val="22"/>
        </w:rPr>
        <w:t xml:space="preserve"> a copy of our invoice to </w:t>
      </w:r>
      <w:r>
        <w:rPr>
          <w:rFonts w:ascii="Cambria" w:hAnsi="Cambria"/>
          <w:sz w:val="22"/>
          <w:szCs w:val="22"/>
        </w:rPr>
        <w:t>the client</w:t>
      </w:r>
      <w:r w:rsidRPr="00774501">
        <w:rPr>
          <w:rFonts w:ascii="Cambria" w:hAnsi="Cambria"/>
          <w:sz w:val="22"/>
          <w:szCs w:val="22"/>
        </w:rPr>
        <w:t>, legend</w:t>
      </w:r>
      <w:r>
        <w:rPr>
          <w:rFonts w:ascii="Cambria" w:hAnsi="Cambria"/>
          <w:sz w:val="22"/>
          <w:szCs w:val="22"/>
        </w:rPr>
        <w:t xml:space="preserve"> urging the comparison of information provided in our statement with those from the qualified custodian will be included.</w:t>
      </w:r>
    </w:p>
    <w:p w:rsidR="004A764E" w:rsidP="007D5DDB" w:rsidRDefault="004A764E" w14:paraId="21687082" w14:textId="75726F0F">
      <w:pPr>
        <w:pStyle w:val="NoSpacing"/>
        <w:jc w:val="both"/>
        <w:rPr>
          <w:rFonts w:ascii="Cambria" w:hAnsi="Cambria"/>
        </w:rPr>
      </w:pPr>
    </w:p>
    <w:p w:rsidR="004A764E" w:rsidP="004A764E" w:rsidRDefault="004A764E" w14:paraId="3A629E4C" w14:textId="77777777">
      <w:pPr>
        <w:jc w:val="both"/>
        <w:rPr>
          <w:rFonts w:ascii="Cambria" w:hAnsi="Cambria"/>
          <w:b/>
        </w:rPr>
      </w:pPr>
      <w:r w:rsidRPr="00ED5628">
        <w:rPr>
          <w:rFonts w:ascii="Cambria" w:hAnsi="Cambria"/>
          <w:b/>
        </w:rPr>
        <w:t xml:space="preserve">Institutional Intelligent </w:t>
      </w:r>
      <w:proofErr w:type="spellStart"/>
      <w:r w:rsidRPr="00ED5628">
        <w:rPr>
          <w:rFonts w:ascii="Cambria" w:hAnsi="Cambria"/>
          <w:b/>
        </w:rPr>
        <w:t>Portfolios</w:t>
      </w:r>
      <w:r w:rsidRPr="00ED5628">
        <w:rPr>
          <w:rFonts w:ascii="Cambria" w:hAnsi="Cambria"/>
          <w:b/>
          <w:vertAlign w:val="superscript"/>
        </w:rPr>
        <w:t>TM</w:t>
      </w:r>
      <w:proofErr w:type="spellEnd"/>
      <w:r w:rsidRPr="00ED5628">
        <w:rPr>
          <w:rFonts w:ascii="Cambria" w:hAnsi="Cambria"/>
          <w:b/>
          <w:vertAlign w:val="superscript"/>
        </w:rPr>
        <w:t xml:space="preserve"> </w:t>
      </w:r>
    </w:p>
    <w:p w:rsidRPr="000F7355" w:rsidR="004A764E" w:rsidP="004A764E" w:rsidRDefault="004A764E" w14:paraId="745F9AFB" w14:textId="77777777">
      <w:pPr>
        <w:pStyle w:val="NoSpacing"/>
        <w:ind w:left="360"/>
        <w:jc w:val="both"/>
        <w:rPr>
          <w:rFonts w:ascii="Cambria" w:hAnsi="Cambria" w:cs="Arial"/>
          <w:sz w:val="16"/>
          <w:szCs w:val="16"/>
        </w:rPr>
      </w:pPr>
    </w:p>
    <w:p w:rsidRPr="00EA1FD9" w:rsidR="004A764E" w:rsidP="004A764E" w:rsidRDefault="004A764E" w14:paraId="12C97311" w14:textId="5815EC29">
      <w:pPr>
        <w:tabs>
          <w:tab w:val="left" w:pos="720"/>
        </w:tabs>
        <w:jc w:val="both"/>
        <w:rPr>
          <w:rFonts w:ascii="Cambria" w:hAnsi="Cambria"/>
        </w:rPr>
      </w:pPr>
      <w:r>
        <w:rPr>
          <w:rFonts w:ascii="Cambria" w:hAnsi="Cambria"/>
        </w:rPr>
        <w:t xml:space="preserve">The maximum annual fee charged for this services will not exceed 0.75%. Fees to be assessed will be outlined in the advisory agreement to </w:t>
      </w:r>
      <w:r w:rsidRPr="00EA1FD9">
        <w:rPr>
          <w:rFonts w:ascii="Cambria" w:hAnsi="Cambria"/>
        </w:rPr>
        <w:t xml:space="preserve">be signed by the client. Annualized fees are billed on a pro-rata basis </w:t>
      </w:r>
      <w:r>
        <w:rPr>
          <w:rFonts w:ascii="Cambria" w:hAnsi="Cambria"/>
        </w:rPr>
        <w:t xml:space="preserve">monthly or </w:t>
      </w:r>
      <w:r w:rsidRPr="00EA1FD9">
        <w:rPr>
          <w:rFonts w:ascii="Cambria" w:hAnsi="Cambria"/>
        </w:rPr>
        <w:t xml:space="preserve">quarterly in </w:t>
      </w:r>
      <w:r>
        <w:rPr>
          <w:rFonts w:ascii="Cambria" w:hAnsi="Cambria"/>
        </w:rPr>
        <w:t xml:space="preserve">advanced or </w:t>
      </w:r>
      <w:r w:rsidRPr="00EA1FD9">
        <w:rPr>
          <w:rFonts w:ascii="Cambria" w:hAnsi="Cambria"/>
        </w:rPr>
        <w:t>arrears based on the value of the account(s) on the time-weighted daily average of the quarter.</w:t>
      </w:r>
      <w:r>
        <w:rPr>
          <w:rFonts w:ascii="Cambria" w:hAnsi="Cambria"/>
        </w:rPr>
        <w:t xml:space="preserve"> The </w:t>
      </w:r>
      <w:r w:rsidR="00FA51A9">
        <w:rPr>
          <w:rFonts w:ascii="Cambria" w:hAnsi="Cambria"/>
        </w:rPr>
        <w:t>fee-paying</w:t>
      </w:r>
      <w:r>
        <w:rPr>
          <w:rFonts w:ascii="Cambria" w:hAnsi="Cambria"/>
        </w:rPr>
        <w:t xml:space="preserve"> arrangements will be detailed in the signed advisory agreement.</w:t>
      </w:r>
      <w:r w:rsidRPr="00EA1FD9">
        <w:rPr>
          <w:rFonts w:ascii="Cambria" w:hAnsi="Cambria"/>
        </w:rPr>
        <w:t xml:space="preserve"> Fees are negotiable and will be deducted from client account(s). In rare cases, our firm will agree to directly invoice. As part of this process, Clients understand the following:</w:t>
      </w:r>
    </w:p>
    <w:p w:rsidRPr="00AC6907" w:rsidR="00C454F6" w:rsidP="00C454F6" w:rsidRDefault="004A764E" w14:paraId="43F8FDAA" w14:textId="77777777">
      <w:pPr>
        <w:pStyle w:val="BodyText"/>
        <w:jc w:val="both"/>
        <w:rPr>
          <w:rFonts w:ascii="Cambria" w:hAnsi="Cambria"/>
          <w:sz w:val="22"/>
          <w:szCs w:val="22"/>
        </w:rPr>
      </w:pPr>
      <w:r w:rsidRPr="00EA1FD9">
        <w:rPr>
          <w:rFonts w:ascii="Cambria" w:hAnsi="Cambria" w:cs="Arial"/>
        </w:rPr>
        <w:t xml:space="preserve">  </w:t>
      </w:r>
    </w:p>
    <w:p w:rsidRPr="00AC6907" w:rsidR="00C454F6" w:rsidP="00C454F6" w:rsidRDefault="00C454F6" w14:paraId="4228304F" w14:textId="77777777">
      <w:pPr>
        <w:pStyle w:val="BodyText"/>
        <w:numPr>
          <w:ilvl w:val="0"/>
          <w:numId w:val="37"/>
        </w:numPr>
        <w:jc w:val="both"/>
        <w:rPr>
          <w:rFonts w:ascii="Cambria" w:hAnsi="Cambria"/>
          <w:sz w:val="22"/>
          <w:szCs w:val="22"/>
        </w:rPr>
      </w:pPr>
      <w:r>
        <w:rPr>
          <w:rFonts w:ascii="Cambria" w:hAnsi="Cambria"/>
          <w:sz w:val="22"/>
          <w:szCs w:val="22"/>
        </w:rPr>
        <w:t>The client’s</w:t>
      </w:r>
      <w:r w:rsidRPr="000C3792">
        <w:rPr>
          <w:rFonts w:ascii="Cambria" w:hAnsi="Cambria"/>
          <w:sz w:val="22"/>
          <w:szCs w:val="22"/>
        </w:rPr>
        <w:t xml:space="preserve"> independent custodian sends statements at least quarterly showing the market values for each security included in the Assets</w:t>
      </w:r>
      <w:r>
        <w:rPr>
          <w:rFonts w:ascii="Cambria" w:hAnsi="Cambria"/>
          <w:sz w:val="22"/>
          <w:szCs w:val="22"/>
        </w:rPr>
        <w:t xml:space="preserve"> and</w:t>
      </w:r>
      <w:r w:rsidRPr="000C3792">
        <w:rPr>
          <w:rFonts w:ascii="Cambria" w:hAnsi="Cambria"/>
          <w:sz w:val="22"/>
          <w:szCs w:val="22"/>
        </w:rPr>
        <w:t xml:space="preserve"> </w:t>
      </w:r>
      <w:r>
        <w:rPr>
          <w:rFonts w:ascii="Cambria" w:hAnsi="Cambria"/>
          <w:sz w:val="22"/>
          <w:szCs w:val="22"/>
        </w:rPr>
        <w:t xml:space="preserve">all account </w:t>
      </w:r>
      <w:r w:rsidRPr="000C3792">
        <w:rPr>
          <w:rFonts w:ascii="Cambria" w:hAnsi="Cambria"/>
          <w:sz w:val="22"/>
          <w:szCs w:val="22"/>
        </w:rPr>
        <w:t>disbursements</w:t>
      </w:r>
      <w:r>
        <w:rPr>
          <w:rFonts w:ascii="Cambria" w:hAnsi="Cambria"/>
          <w:sz w:val="22"/>
          <w:szCs w:val="22"/>
        </w:rPr>
        <w:t>, including</w:t>
      </w:r>
      <w:r w:rsidRPr="000C3792">
        <w:rPr>
          <w:rFonts w:ascii="Cambria" w:hAnsi="Cambria"/>
          <w:sz w:val="22"/>
          <w:szCs w:val="22"/>
        </w:rPr>
        <w:t xml:space="preserve"> the amount of the advisory fees paid to </w:t>
      </w:r>
      <w:r>
        <w:rPr>
          <w:rFonts w:ascii="Cambria" w:hAnsi="Cambria"/>
          <w:sz w:val="22"/>
          <w:szCs w:val="22"/>
        </w:rPr>
        <w:t xml:space="preserve">our </w:t>
      </w:r>
      <w:proofErr w:type="gramStart"/>
      <w:r>
        <w:rPr>
          <w:rFonts w:ascii="Cambria" w:hAnsi="Cambria"/>
          <w:sz w:val="22"/>
          <w:szCs w:val="22"/>
        </w:rPr>
        <w:t>firm</w:t>
      </w:r>
      <w:r w:rsidRPr="000C3792">
        <w:rPr>
          <w:rFonts w:ascii="Cambria" w:hAnsi="Cambria"/>
          <w:sz w:val="22"/>
          <w:szCs w:val="22"/>
        </w:rPr>
        <w:t>;</w:t>
      </w:r>
      <w:proofErr w:type="gramEnd"/>
    </w:p>
    <w:p w:rsidRPr="00774501" w:rsidR="00C454F6" w:rsidP="00C454F6" w:rsidRDefault="00C454F6" w14:paraId="1AD22077" w14:textId="77777777">
      <w:pPr>
        <w:pStyle w:val="BodyText"/>
        <w:numPr>
          <w:ilvl w:val="0"/>
          <w:numId w:val="37"/>
        </w:numPr>
        <w:jc w:val="both"/>
        <w:rPr>
          <w:rFonts w:ascii="Cambria" w:hAnsi="Cambria"/>
          <w:sz w:val="22"/>
          <w:szCs w:val="22"/>
        </w:rPr>
      </w:pPr>
      <w:r>
        <w:rPr>
          <w:rFonts w:ascii="Cambria" w:hAnsi="Cambria"/>
          <w:sz w:val="22"/>
          <w:szCs w:val="22"/>
        </w:rPr>
        <w:t xml:space="preserve">Clients will </w:t>
      </w:r>
      <w:r w:rsidRPr="0015546F">
        <w:rPr>
          <w:rFonts w:ascii="Cambria" w:hAnsi="Cambria"/>
          <w:sz w:val="22"/>
          <w:szCs w:val="22"/>
        </w:rPr>
        <w:t xml:space="preserve">provide authorization permitting </w:t>
      </w:r>
      <w:r>
        <w:rPr>
          <w:rFonts w:ascii="Cambria" w:hAnsi="Cambria"/>
          <w:sz w:val="22"/>
          <w:szCs w:val="22"/>
        </w:rPr>
        <w:t>our firm</w:t>
      </w:r>
      <w:r w:rsidRPr="0015546F">
        <w:rPr>
          <w:rFonts w:ascii="Cambria" w:hAnsi="Cambria"/>
          <w:sz w:val="22"/>
          <w:szCs w:val="22"/>
        </w:rPr>
        <w:t xml:space="preserve"> to be directly paid by these terms</w:t>
      </w:r>
      <w:r>
        <w:rPr>
          <w:rFonts w:ascii="Cambria" w:hAnsi="Cambria"/>
          <w:sz w:val="22"/>
          <w:szCs w:val="22"/>
        </w:rPr>
        <w:t>. Our firm will send an invoice directly to the custodian</w:t>
      </w:r>
      <w:r w:rsidRPr="0015546F">
        <w:rPr>
          <w:rFonts w:ascii="Cambria" w:hAnsi="Cambria"/>
          <w:sz w:val="22"/>
          <w:szCs w:val="22"/>
        </w:rPr>
        <w:t>;</w:t>
      </w:r>
      <w:r>
        <w:rPr>
          <w:rFonts w:ascii="Cambria" w:hAnsi="Cambria"/>
          <w:sz w:val="22"/>
          <w:szCs w:val="22"/>
        </w:rPr>
        <w:t xml:space="preserve"> and</w:t>
      </w:r>
    </w:p>
    <w:p w:rsidRPr="00774501" w:rsidR="00C454F6" w:rsidP="00C454F6" w:rsidRDefault="00C454F6" w14:paraId="0A343FF0" w14:textId="77777777">
      <w:pPr>
        <w:pStyle w:val="BodyText"/>
        <w:numPr>
          <w:ilvl w:val="0"/>
          <w:numId w:val="37"/>
        </w:numPr>
        <w:jc w:val="both"/>
        <w:rPr>
          <w:rFonts w:ascii="Cambria" w:hAnsi="Cambria"/>
          <w:sz w:val="22"/>
          <w:szCs w:val="22"/>
        </w:rPr>
      </w:pPr>
      <w:r w:rsidRPr="00774501">
        <w:rPr>
          <w:rFonts w:ascii="Cambria" w:hAnsi="Cambria"/>
          <w:sz w:val="22"/>
          <w:szCs w:val="22"/>
        </w:rPr>
        <w:t xml:space="preserve">If </w:t>
      </w:r>
      <w:r>
        <w:rPr>
          <w:rFonts w:ascii="Cambria" w:hAnsi="Cambria"/>
          <w:sz w:val="22"/>
          <w:szCs w:val="22"/>
        </w:rPr>
        <w:t>our firm</w:t>
      </w:r>
      <w:r w:rsidRPr="00774501">
        <w:rPr>
          <w:rFonts w:ascii="Cambria" w:hAnsi="Cambria"/>
          <w:sz w:val="22"/>
          <w:szCs w:val="22"/>
        </w:rPr>
        <w:t xml:space="preserve"> send</w:t>
      </w:r>
      <w:r>
        <w:rPr>
          <w:rFonts w:ascii="Cambria" w:hAnsi="Cambria"/>
          <w:sz w:val="22"/>
          <w:szCs w:val="22"/>
        </w:rPr>
        <w:t>s</w:t>
      </w:r>
      <w:r w:rsidRPr="00774501">
        <w:rPr>
          <w:rFonts w:ascii="Cambria" w:hAnsi="Cambria"/>
          <w:sz w:val="22"/>
          <w:szCs w:val="22"/>
        </w:rPr>
        <w:t xml:space="preserve"> a copy of our invoice to </w:t>
      </w:r>
      <w:r>
        <w:rPr>
          <w:rFonts w:ascii="Cambria" w:hAnsi="Cambria"/>
          <w:sz w:val="22"/>
          <w:szCs w:val="22"/>
        </w:rPr>
        <w:t>the client</w:t>
      </w:r>
      <w:r w:rsidRPr="00774501">
        <w:rPr>
          <w:rFonts w:ascii="Cambria" w:hAnsi="Cambria"/>
          <w:sz w:val="22"/>
          <w:szCs w:val="22"/>
        </w:rPr>
        <w:t>, legend</w:t>
      </w:r>
      <w:r>
        <w:rPr>
          <w:rFonts w:ascii="Cambria" w:hAnsi="Cambria"/>
          <w:sz w:val="22"/>
          <w:szCs w:val="22"/>
        </w:rPr>
        <w:t xml:space="preserve"> urging the comparison of information provided in our statement with those from the qualified custodian will be included.</w:t>
      </w:r>
    </w:p>
    <w:p w:rsidRPr="00AC6907" w:rsidR="00C454F6" w:rsidP="00C454F6" w:rsidRDefault="00C454F6" w14:paraId="11859156" w14:textId="77777777">
      <w:pPr>
        <w:pStyle w:val="BodyText"/>
        <w:rPr>
          <w:rFonts w:ascii="Cambria" w:hAnsi="Cambria"/>
          <w:sz w:val="22"/>
          <w:szCs w:val="22"/>
        </w:rPr>
      </w:pPr>
    </w:p>
    <w:p w:rsidRPr="00376587" w:rsidR="005F54FC" w:rsidP="00C454F6" w:rsidRDefault="005F54FC" w14:paraId="56A16C16" w14:textId="5C5BAC97">
      <w:pPr>
        <w:jc w:val="both"/>
        <w:rPr>
          <w:rFonts w:ascii="Cambria" w:hAnsi="Cambria" w:cs="Arial"/>
          <w:b/>
          <w:color w:val="000000"/>
        </w:rPr>
      </w:pPr>
      <w:r>
        <w:rPr>
          <w:rFonts w:ascii="Cambria" w:hAnsi="Cambria" w:cs="Arial"/>
          <w:b/>
          <w:color w:val="000000"/>
        </w:rPr>
        <w:t xml:space="preserve">Other Types of Fees </w:t>
      </w:r>
      <w:r w:rsidR="00EE1644">
        <w:rPr>
          <w:rFonts w:ascii="Cambria" w:hAnsi="Cambria" w:cs="Arial"/>
          <w:b/>
          <w:color w:val="000000"/>
        </w:rPr>
        <w:t>&amp;</w:t>
      </w:r>
      <w:r>
        <w:rPr>
          <w:rFonts w:ascii="Cambria" w:hAnsi="Cambria" w:cs="Arial"/>
          <w:b/>
          <w:color w:val="000000"/>
        </w:rPr>
        <w:t xml:space="preserve"> Expenses</w:t>
      </w:r>
    </w:p>
    <w:p w:rsidRPr="00E87509" w:rsidR="00412749" w:rsidP="00412749" w:rsidRDefault="00412749" w14:paraId="09BC6B6D" w14:textId="77777777">
      <w:pPr>
        <w:pStyle w:val="NoSpacing"/>
        <w:ind w:left="360"/>
        <w:jc w:val="both"/>
        <w:rPr>
          <w:rFonts w:ascii="Cambria" w:hAnsi="Cambria" w:cs="Arial"/>
        </w:rPr>
      </w:pPr>
    </w:p>
    <w:p w:rsidR="008175FE" w:rsidP="006847BE" w:rsidRDefault="006847BE" w14:paraId="7204D02F" w14:textId="77777777">
      <w:pPr>
        <w:pStyle w:val="NoSpacing"/>
        <w:jc w:val="both"/>
        <w:rPr>
          <w:rFonts w:ascii="Cambria" w:hAnsi="Cambria" w:cs="Arial"/>
          <w:color w:val="000000"/>
        </w:rPr>
      </w:pPr>
      <w:bookmarkStart w:name="_Hlk497483364" w:id="8"/>
      <w:r w:rsidRPr="004A764E">
        <w:rPr>
          <w:rFonts w:ascii="Cambria" w:hAnsi="Cambria"/>
        </w:rPr>
        <w:t xml:space="preserve">Clients will incur transaction </w:t>
      </w:r>
      <w:r w:rsidRPr="004A764E" w:rsidR="005F6D3C">
        <w:rPr>
          <w:rFonts w:ascii="Cambria" w:hAnsi="Cambria"/>
        </w:rPr>
        <w:t>fees</w:t>
      </w:r>
      <w:r w:rsidRPr="004A764E">
        <w:rPr>
          <w:rFonts w:ascii="Cambria" w:hAnsi="Cambria"/>
        </w:rPr>
        <w:t xml:space="preserve"> for trades executed </w:t>
      </w:r>
      <w:r w:rsidRPr="004A764E" w:rsidR="00B32D8A">
        <w:rPr>
          <w:rFonts w:ascii="Cambria" w:hAnsi="Cambria"/>
        </w:rPr>
        <w:t>by their chosen custodian</w:t>
      </w:r>
      <w:r w:rsidRPr="004A764E" w:rsidR="005F6D3C">
        <w:rPr>
          <w:rFonts w:ascii="Cambria" w:hAnsi="Cambria"/>
        </w:rPr>
        <w:t xml:space="preserve">, </w:t>
      </w:r>
      <w:bookmarkStart w:name="_Hlk497483503" w:id="9"/>
      <w:r w:rsidRPr="004A764E" w:rsidR="005F6D3C">
        <w:rPr>
          <w:rFonts w:ascii="Cambria" w:hAnsi="Cambria"/>
        </w:rPr>
        <w:t>via individual transaction charges</w:t>
      </w:r>
      <w:r w:rsidRPr="004A764E">
        <w:rPr>
          <w:rFonts w:ascii="Cambria" w:hAnsi="Cambria"/>
        </w:rPr>
        <w:t xml:space="preserve">. </w:t>
      </w:r>
      <w:bookmarkEnd w:id="9"/>
      <w:r w:rsidRPr="004A764E">
        <w:rPr>
          <w:rFonts w:ascii="Cambria" w:hAnsi="Cambria"/>
        </w:rPr>
        <w:t xml:space="preserve">These transaction fees are separate from our firm’s advisory fees and will be disclosed by the chosen custodian. </w:t>
      </w:r>
      <w:r w:rsidRPr="008175FE" w:rsidR="008175FE">
        <w:rPr>
          <w:rFonts w:ascii="Cambria" w:hAnsi="Cambria" w:cs="Arial"/>
          <w:color w:val="000000"/>
        </w:rPr>
        <w:t>Schwab</w:t>
      </w:r>
      <w:r w:rsidR="008175FE">
        <w:rPr>
          <w:rFonts w:ascii="Cambria" w:hAnsi="Cambria" w:cs="Arial"/>
          <w:color w:val="000000"/>
        </w:rPr>
        <w:t xml:space="preserve"> has</w:t>
      </w:r>
      <w:r w:rsidRPr="008175FE" w:rsidR="008175FE">
        <w:rPr>
          <w:rFonts w:ascii="Cambria" w:hAnsi="Cambria" w:cs="Arial"/>
          <w:color w:val="000000"/>
        </w:rPr>
        <w:t xml:space="preserve"> eliminated transaction fees for U.S. listed equities and exchange traded funds.</w:t>
      </w:r>
      <w:r w:rsidR="008175FE">
        <w:rPr>
          <w:rFonts w:ascii="Cambria" w:hAnsi="Cambria" w:cs="Arial"/>
          <w:color w:val="000000"/>
        </w:rPr>
        <w:t xml:space="preserve"> </w:t>
      </w:r>
    </w:p>
    <w:p w:rsidR="008175FE" w:rsidP="006847BE" w:rsidRDefault="008175FE" w14:paraId="2B92C469" w14:textId="77777777">
      <w:pPr>
        <w:pStyle w:val="NoSpacing"/>
        <w:jc w:val="both"/>
        <w:rPr>
          <w:rFonts w:ascii="Cambria" w:hAnsi="Cambria" w:cs="Arial"/>
          <w:color w:val="000000"/>
        </w:rPr>
      </w:pPr>
    </w:p>
    <w:p w:rsidR="006847BE" w:rsidP="006847BE" w:rsidRDefault="006847BE" w14:paraId="1C71E980" w14:textId="3DB388C5">
      <w:pPr>
        <w:pStyle w:val="NoSpacing"/>
        <w:jc w:val="both"/>
        <w:rPr>
          <w:rFonts w:ascii="Cambria" w:hAnsi="Cambria"/>
        </w:rPr>
      </w:pPr>
      <w:r w:rsidRPr="004A764E">
        <w:rPr>
          <w:rFonts w:ascii="Cambria" w:hAnsi="Cambria"/>
        </w:rPr>
        <w:t xml:space="preserve">Clients may also pay </w:t>
      </w:r>
      <w:r w:rsidRPr="004A764E" w:rsidR="00E37E90">
        <w:rPr>
          <w:rFonts w:ascii="Cambria" w:hAnsi="Cambria"/>
        </w:rPr>
        <w:t xml:space="preserve">holdings charges imposed by the chosen custodian for certain investments, </w:t>
      </w:r>
      <w:r w:rsidRPr="004A764E">
        <w:rPr>
          <w:rFonts w:ascii="Cambria" w:hAnsi="Cambria"/>
        </w:rPr>
        <w:t>charges imposed directly by a</w:t>
      </w:r>
      <w:r w:rsidRPr="0015546F">
        <w:rPr>
          <w:rFonts w:ascii="Cambria" w:hAnsi="Cambria"/>
        </w:rPr>
        <w:t xml:space="preserve"> mutual fund, index fund, or exchange traded fund</w:t>
      </w:r>
      <w:r>
        <w:rPr>
          <w:rFonts w:ascii="Cambria" w:hAnsi="Cambria"/>
        </w:rPr>
        <w:t>,</w:t>
      </w:r>
      <w:r w:rsidRPr="0015546F">
        <w:rPr>
          <w:rFonts w:ascii="Cambria" w:hAnsi="Cambria"/>
        </w:rPr>
        <w:t xml:space="preserve"> which shall be disclosed in the fund’s prospectus (i.e., </w:t>
      </w:r>
      <w:r>
        <w:rPr>
          <w:rFonts w:ascii="Cambria" w:hAnsi="Cambria" w:cs="Arial"/>
        </w:rPr>
        <w:t xml:space="preserve">fund management fees, initial or deferred sales charges, mutual fund sales loads, 12b-1 fees, surrender charges, variable annuity fees, IRA and qualified retirement plan fees, and </w:t>
      </w:r>
      <w:r w:rsidRPr="0015546F">
        <w:rPr>
          <w:rFonts w:ascii="Cambria" w:hAnsi="Cambria" w:cs="Arial"/>
        </w:rPr>
        <w:t>other fund expenses)</w:t>
      </w:r>
      <w:r w:rsidR="00AD33AA">
        <w:rPr>
          <w:rFonts w:ascii="Cambria" w:hAnsi="Cambria" w:cs="Arial"/>
        </w:rPr>
        <w:t xml:space="preserve">, </w:t>
      </w:r>
      <w:r w:rsidRPr="00AD33AA" w:rsidR="00AD33AA">
        <w:rPr>
          <w:rFonts w:ascii="Cambria" w:hAnsi="Cambria" w:cs="Arial"/>
        </w:rPr>
        <w:t>mark-ups and mark-downs, spreads paid to market makers, fees for trades executed away from custodian, wire transfer fees and other fees and taxes on brokerage accounts and securities transactions.</w:t>
      </w:r>
      <w:r>
        <w:rPr>
          <w:rFonts w:ascii="Cambria" w:hAnsi="Cambria" w:cs="Arial"/>
        </w:rPr>
        <w:t xml:space="preserve"> Our firm does not receive a portion of these fees</w:t>
      </w:r>
      <w:r>
        <w:rPr>
          <w:rFonts w:ascii="Cambria" w:hAnsi="Cambria"/>
        </w:rPr>
        <w:t>.</w:t>
      </w:r>
    </w:p>
    <w:bookmarkEnd w:id="8"/>
    <w:p w:rsidR="00412749" w:rsidP="008A75CC" w:rsidRDefault="00412749" w14:paraId="48C199B0" w14:textId="77777777">
      <w:pPr>
        <w:pStyle w:val="NoSpacing"/>
        <w:jc w:val="both"/>
        <w:rPr>
          <w:rFonts w:ascii="Cambria" w:hAnsi="Cambria" w:cs="Arial"/>
          <w:color w:val="000000"/>
          <w:u w:val="single"/>
        </w:rPr>
      </w:pPr>
    </w:p>
    <w:p w:rsidRPr="004A764E" w:rsidR="008A75CC" w:rsidP="008A75CC" w:rsidRDefault="008A75CC" w14:paraId="4631CF14" w14:textId="77777777">
      <w:pPr>
        <w:pStyle w:val="NoSpacing"/>
        <w:pBdr>
          <w:bottom w:val="single" w:color="auto" w:sz="4" w:space="1"/>
        </w:pBdr>
        <w:jc w:val="both"/>
        <w:rPr>
          <w:rFonts w:ascii="Cambria" w:hAnsi="Cambria" w:cs="Arial"/>
          <w:b/>
          <w:color w:val="000000"/>
        </w:rPr>
      </w:pPr>
      <w:r w:rsidRPr="004A764E">
        <w:rPr>
          <w:rFonts w:ascii="Cambria" w:hAnsi="Cambria" w:cs="Arial"/>
          <w:b/>
          <w:color w:val="000000"/>
        </w:rPr>
        <w:t>Termination</w:t>
      </w:r>
      <w:r w:rsidRPr="004A764E" w:rsidR="00C868CA">
        <w:rPr>
          <w:rFonts w:ascii="Cambria" w:hAnsi="Cambria" w:cs="Arial"/>
          <w:b/>
          <w:color w:val="000000"/>
        </w:rPr>
        <w:t xml:space="preserve"> </w:t>
      </w:r>
      <w:r w:rsidRPr="004A764E" w:rsidR="00EE1644">
        <w:rPr>
          <w:rFonts w:ascii="Cambria" w:hAnsi="Cambria" w:cs="Arial"/>
          <w:b/>
          <w:color w:val="000000"/>
        </w:rPr>
        <w:t>&amp;</w:t>
      </w:r>
      <w:r w:rsidRPr="004A764E" w:rsidR="00C868CA">
        <w:rPr>
          <w:rFonts w:ascii="Cambria" w:hAnsi="Cambria" w:cs="Arial"/>
          <w:b/>
          <w:color w:val="000000"/>
        </w:rPr>
        <w:t xml:space="preserve"> Refunds</w:t>
      </w:r>
    </w:p>
    <w:p w:rsidRPr="004A764E" w:rsidR="008A75CC" w:rsidP="008A75CC" w:rsidRDefault="008A75CC" w14:paraId="7FE1F972" w14:textId="77777777">
      <w:pPr>
        <w:pStyle w:val="NoSpacing"/>
        <w:jc w:val="both"/>
        <w:rPr>
          <w:rFonts w:ascii="Cambria" w:hAnsi="Cambria"/>
          <w:color w:val="000000"/>
          <w:sz w:val="16"/>
          <w:szCs w:val="16"/>
        </w:rPr>
      </w:pPr>
    </w:p>
    <w:p w:rsidR="006847BE" w:rsidP="006847BE" w:rsidRDefault="006847BE" w14:paraId="1B2B79AF" w14:textId="064DB3B8">
      <w:pPr>
        <w:pStyle w:val="NoSpacing"/>
        <w:jc w:val="both"/>
        <w:rPr>
          <w:rFonts w:ascii="Cambria" w:hAnsi="Cambria"/>
          <w:color w:val="000000"/>
        </w:rPr>
      </w:pPr>
      <w:r w:rsidRPr="004A764E">
        <w:rPr>
          <w:rFonts w:ascii="Cambria" w:hAnsi="Cambria"/>
          <w:color w:val="000000"/>
        </w:rPr>
        <w:t xml:space="preserve">Either party may terminate the advisory agreement signed with our firm for </w:t>
      </w:r>
      <w:r w:rsidR="005F1600">
        <w:rPr>
          <w:rFonts w:ascii="Cambria" w:hAnsi="Cambria"/>
          <w:color w:val="000000"/>
        </w:rPr>
        <w:t>Asset Management,</w:t>
      </w:r>
      <w:r w:rsidRPr="004A764E">
        <w:rPr>
          <w:rFonts w:ascii="Cambria" w:hAnsi="Cambria"/>
          <w:color w:val="000000"/>
        </w:rPr>
        <w:t xml:space="preserve"> </w:t>
      </w:r>
      <w:r w:rsidR="005F1600">
        <w:rPr>
          <w:rFonts w:ascii="Cambria" w:hAnsi="Cambria"/>
          <w:color w:val="000000"/>
        </w:rPr>
        <w:t xml:space="preserve">and Institutional Intelligent </w:t>
      </w:r>
      <w:proofErr w:type="spellStart"/>
      <w:r w:rsidR="005F1600">
        <w:rPr>
          <w:rFonts w:ascii="Cambria" w:hAnsi="Cambria"/>
          <w:color w:val="000000"/>
        </w:rPr>
        <w:t>Portfolios</w:t>
      </w:r>
      <w:r w:rsidR="005F1600">
        <w:rPr>
          <w:rFonts w:ascii="Cambria" w:hAnsi="Cambria"/>
          <w:color w:val="000000"/>
          <w:vertAlign w:val="superscript"/>
        </w:rPr>
        <w:t>TM</w:t>
      </w:r>
      <w:proofErr w:type="spellEnd"/>
      <w:r w:rsidRPr="004A764E">
        <w:rPr>
          <w:rFonts w:ascii="Cambria" w:hAnsi="Cambria"/>
          <w:color w:val="000000"/>
        </w:rPr>
        <w:t xml:space="preserve"> services in writing at any time. Upon notice of termination our firm will process a pro-rata refund of the unearned portion of the advisory fees charged in advance.</w:t>
      </w:r>
      <w:r w:rsidRPr="004A764E" w:rsidR="004A764E">
        <w:rPr>
          <w:rFonts w:ascii="Cambria" w:hAnsi="Cambria"/>
          <w:color w:val="000000"/>
        </w:rPr>
        <w:t xml:space="preserve"> For clients charged in arrears, a pro-rata advisory fee for services rendered to the point of termination will be charged. If advisory fees cannot be deducted, our firm will send an invoice for due advisory fees to the client.</w:t>
      </w:r>
    </w:p>
    <w:p w:rsidRPr="00376587" w:rsidR="008A75CC" w:rsidP="008A75CC" w:rsidRDefault="008A75CC" w14:paraId="48A8692E" w14:textId="77777777">
      <w:pPr>
        <w:pStyle w:val="NoSpacing"/>
        <w:pBdr>
          <w:bottom w:val="single" w:color="auto" w:sz="4" w:space="1"/>
        </w:pBdr>
        <w:jc w:val="both"/>
        <w:rPr>
          <w:rFonts w:ascii="Cambria" w:hAnsi="Cambria" w:cs="Arial"/>
          <w:b/>
        </w:rPr>
      </w:pPr>
      <w:r w:rsidRPr="00376587">
        <w:rPr>
          <w:rFonts w:ascii="Cambria" w:hAnsi="Cambria" w:cs="Arial"/>
          <w:b/>
        </w:rPr>
        <w:lastRenderedPageBreak/>
        <w:t>Commissionable Securities Sales</w:t>
      </w:r>
    </w:p>
    <w:p w:rsidRPr="0048078F" w:rsidR="008A75CC" w:rsidP="008A75CC" w:rsidRDefault="008A75CC" w14:paraId="7FD7E08D" w14:textId="77777777">
      <w:pPr>
        <w:pStyle w:val="NoSpacing"/>
        <w:jc w:val="both"/>
        <w:rPr>
          <w:rFonts w:ascii="Cambria" w:hAnsi="Cambria" w:cs="Arial"/>
          <w:sz w:val="16"/>
          <w:szCs w:val="16"/>
        </w:rPr>
      </w:pPr>
    </w:p>
    <w:p w:rsidRPr="00E87509" w:rsidR="006847BE" w:rsidP="007D5DDB" w:rsidRDefault="006847BE" w14:paraId="17CE6F12" w14:textId="77777777">
      <w:pPr>
        <w:pStyle w:val="NoSpacing"/>
        <w:jc w:val="both"/>
        <w:rPr>
          <w:rFonts w:ascii="Cambria" w:hAnsi="Cambria" w:cs="Arial"/>
        </w:rPr>
      </w:pPr>
      <w:r>
        <w:rPr>
          <w:rFonts w:ascii="Cambria" w:hAnsi="Cambria" w:cs="Arial"/>
        </w:rPr>
        <w:t>Our firm and representatives do</w:t>
      </w:r>
      <w:r w:rsidRPr="00E87509">
        <w:rPr>
          <w:rFonts w:ascii="Cambria" w:hAnsi="Cambria" w:cs="Arial"/>
        </w:rPr>
        <w:t xml:space="preserve"> not sell securities for a commission</w:t>
      </w:r>
      <w:r>
        <w:rPr>
          <w:rFonts w:ascii="Cambria" w:hAnsi="Cambria" w:cs="Arial"/>
        </w:rPr>
        <w:t xml:space="preserve"> in advisory accounts</w:t>
      </w:r>
      <w:r w:rsidRPr="00E87509">
        <w:rPr>
          <w:rFonts w:ascii="Cambria" w:hAnsi="Cambria" w:cs="Arial"/>
        </w:rPr>
        <w:t>.</w:t>
      </w:r>
    </w:p>
    <w:p w:rsidRPr="00E87509" w:rsidR="00676AD2" w:rsidP="00676AD2" w:rsidRDefault="00676AD2" w14:paraId="64600CEA" w14:textId="5818C818">
      <w:pPr>
        <w:pStyle w:val="Default"/>
        <w:tabs>
          <w:tab w:val="left" w:pos="720"/>
        </w:tabs>
        <w:ind w:left="720" w:hanging="360"/>
        <w:jc w:val="both"/>
        <w:rPr>
          <w:rFonts w:ascii="Cambria" w:hAnsi="Cambria" w:cs="Arial"/>
          <w:sz w:val="22"/>
          <w:szCs w:val="22"/>
          <w:highlight w:val="green"/>
        </w:rPr>
      </w:pPr>
    </w:p>
    <w:p w:rsidRPr="00594E59" w:rsidR="00676AD2" w:rsidP="0002356D" w:rsidRDefault="00676AD2" w14:paraId="53DC5096"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80" w:id="10"/>
    </w:p>
    <w:p w:rsidR="00676AD2" w:rsidP="0002356D" w:rsidRDefault="00676AD2" w14:paraId="460C73B1"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599" w:id="11"/>
      <w:r w:rsidRPr="00DF224D">
        <w:rPr>
          <w:rFonts w:ascii="Cambria" w:hAnsi="Cambria" w:cs="Arial"/>
          <w:b/>
          <w:sz w:val="24"/>
          <w:szCs w:val="24"/>
        </w:rPr>
        <w:t>Item 6: Performance-Based Fees &amp; Side-By-Side Management</w:t>
      </w:r>
      <w:bookmarkEnd w:id="10"/>
      <w:bookmarkEnd w:id="11"/>
    </w:p>
    <w:p w:rsidRPr="00594E59" w:rsidR="00676AD2" w:rsidP="0002356D" w:rsidRDefault="00676AD2" w14:paraId="66BF2809"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676AD2" w:rsidP="00676AD2" w:rsidRDefault="00676AD2" w14:paraId="4E6FE033" w14:textId="77777777">
      <w:pPr>
        <w:autoSpaceDE w:val="0"/>
        <w:autoSpaceDN w:val="0"/>
        <w:jc w:val="both"/>
        <w:rPr>
          <w:rFonts w:ascii="Cambria" w:hAnsi="Cambria" w:cs="Arial"/>
          <w:bCs/>
        </w:rPr>
      </w:pPr>
    </w:p>
    <w:p w:rsidRPr="00ED343F" w:rsidR="006847BE" w:rsidP="006847BE" w:rsidRDefault="006847BE" w14:paraId="1F32A440" w14:textId="77777777">
      <w:pPr>
        <w:autoSpaceDE w:val="0"/>
        <w:autoSpaceDN w:val="0"/>
        <w:jc w:val="both"/>
        <w:rPr>
          <w:rFonts w:ascii="Cambria" w:hAnsi="Cambria" w:cs="Arial"/>
          <w:bCs/>
        </w:rPr>
      </w:pPr>
      <w:r w:rsidRPr="00ED343F">
        <w:rPr>
          <w:rFonts w:ascii="Cambria" w:hAnsi="Cambria" w:cs="Arial"/>
          <w:bCs/>
        </w:rPr>
        <w:t>Our firm does not charge performance-based fees.</w:t>
      </w:r>
    </w:p>
    <w:p w:rsidRPr="00E87509" w:rsidR="00341CED" w:rsidP="006847BE" w:rsidRDefault="00341CED" w14:paraId="58993B5A" w14:textId="77777777">
      <w:pPr>
        <w:autoSpaceDE w:val="0"/>
        <w:autoSpaceDN w:val="0"/>
        <w:jc w:val="center"/>
        <w:rPr>
          <w:rFonts w:ascii="Cambria" w:hAnsi="Cambria" w:cs="Arial"/>
          <w:b/>
          <w:color w:val="000000"/>
          <w:highlight w:val="cyan"/>
        </w:rPr>
      </w:pPr>
    </w:p>
    <w:p w:rsidRPr="00594E59" w:rsidR="006847BE" w:rsidP="0002356D" w:rsidRDefault="006847BE" w14:paraId="563D362D"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81" w:id="12"/>
    </w:p>
    <w:p w:rsidR="006847BE" w:rsidP="0002356D" w:rsidRDefault="006847BE" w14:paraId="055445C7"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0" w:id="13"/>
      <w:r w:rsidRPr="00DF224D">
        <w:rPr>
          <w:rFonts w:ascii="Cambria" w:hAnsi="Cambria" w:cs="Arial"/>
          <w:b/>
          <w:sz w:val="24"/>
          <w:szCs w:val="24"/>
        </w:rPr>
        <w:t>Item 7: Types of Clients &amp; Account Requirements</w:t>
      </w:r>
      <w:bookmarkEnd w:id="12"/>
      <w:bookmarkEnd w:id="13"/>
    </w:p>
    <w:p w:rsidRPr="00594E59" w:rsidR="006847BE" w:rsidP="0002356D" w:rsidRDefault="006847BE" w14:paraId="0D058637"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6847BE" w:rsidP="006847BE" w:rsidRDefault="006847BE" w14:paraId="27FA91D2" w14:textId="77777777">
      <w:pPr>
        <w:autoSpaceDE w:val="0"/>
        <w:autoSpaceDN w:val="0"/>
        <w:jc w:val="both"/>
        <w:rPr>
          <w:rFonts w:ascii="Cambria" w:hAnsi="Cambria" w:cs="Arial"/>
          <w:color w:val="000000"/>
        </w:rPr>
      </w:pPr>
    </w:p>
    <w:p w:rsidRPr="005F1600" w:rsidR="006847BE" w:rsidP="006847BE" w:rsidRDefault="006847BE" w14:paraId="52B8F4B6" w14:textId="77777777">
      <w:pPr>
        <w:autoSpaceDE w:val="0"/>
        <w:autoSpaceDN w:val="0"/>
        <w:jc w:val="both"/>
        <w:rPr>
          <w:rFonts w:ascii="Cambria" w:hAnsi="Cambria" w:cs="Arial"/>
        </w:rPr>
      </w:pPr>
      <w:r w:rsidRPr="005F1600">
        <w:rPr>
          <w:rFonts w:ascii="Cambria" w:hAnsi="Cambria" w:cs="Arial"/>
        </w:rPr>
        <w:t>Our firm has the following types of clients:</w:t>
      </w:r>
    </w:p>
    <w:p w:rsidRPr="005F1600" w:rsidR="006847BE" w:rsidP="00275CE3" w:rsidRDefault="006847BE" w14:paraId="1C90D8A4" w14:textId="77777777">
      <w:pPr>
        <w:numPr>
          <w:ilvl w:val="0"/>
          <w:numId w:val="2"/>
        </w:numPr>
        <w:autoSpaceDE w:val="0"/>
        <w:autoSpaceDN w:val="0"/>
        <w:jc w:val="both"/>
        <w:rPr>
          <w:rFonts w:ascii="Cambria" w:hAnsi="Cambria" w:cs="Arial"/>
          <w:color w:val="000000"/>
        </w:rPr>
      </w:pPr>
      <w:r w:rsidRPr="005F1600">
        <w:rPr>
          <w:rFonts w:ascii="Cambria" w:hAnsi="Cambria" w:cs="Arial"/>
          <w:color w:val="000000"/>
        </w:rPr>
        <w:t xml:space="preserve">Individuals and High Net Worth </w:t>
      </w:r>
      <w:proofErr w:type="gramStart"/>
      <w:r w:rsidRPr="005F1600">
        <w:rPr>
          <w:rFonts w:ascii="Cambria" w:hAnsi="Cambria" w:cs="Arial"/>
          <w:color w:val="000000"/>
        </w:rPr>
        <w:t>Individuals;</w:t>
      </w:r>
      <w:proofErr w:type="gramEnd"/>
    </w:p>
    <w:p w:rsidRPr="005F1600" w:rsidR="006847BE" w:rsidP="00275CE3" w:rsidRDefault="006847BE" w14:paraId="7BD3BBFA" w14:textId="77777777">
      <w:pPr>
        <w:numPr>
          <w:ilvl w:val="0"/>
          <w:numId w:val="2"/>
        </w:numPr>
        <w:autoSpaceDE w:val="0"/>
        <w:autoSpaceDN w:val="0"/>
        <w:jc w:val="both"/>
        <w:rPr>
          <w:rFonts w:ascii="Cambria" w:hAnsi="Cambria" w:cs="Arial"/>
          <w:color w:val="000000"/>
        </w:rPr>
      </w:pPr>
      <w:r w:rsidRPr="005F1600">
        <w:rPr>
          <w:rFonts w:ascii="Cambria" w:hAnsi="Cambria" w:cs="Arial"/>
          <w:color w:val="000000"/>
        </w:rPr>
        <w:t xml:space="preserve">Trusts, Estates or Charitable </w:t>
      </w:r>
      <w:proofErr w:type="gramStart"/>
      <w:r w:rsidRPr="005F1600">
        <w:rPr>
          <w:rFonts w:ascii="Cambria" w:hAnsi="Cambria" w:cs="Arial"/>
          <w:color w:val="000000"/>
        </w:rPr>
        <w:t>Organizations;</w:t>
      </w:r>
      <w:proofErr w:type="gramEnd"/>
    </w:p>
    <w:p w:rsidRPr="005F1600" w:rsidR="006847BE" w:rsidP="00275CE3" w:rsidRDefault="006847BE" w14:paraId="0B4DEF6D" w14:textId="77777777">
      <w:pPr>
        <w:numPr>
          <w:ilvl w:val="0"/>
          <w:numId w:val="2"/>
        </w:numPr>
        <w:autoSpaceDE w:val="0"/>
        <w:autoSpaceDN w:val="0"/>
        <w:jc w:val="both"/>
        <w:rPr>
          <w:rFonts w:ascii="Cambria" w:hAnsi="Cambria" w:cs="Arial"/>
          <w:color w:val="000000"/>
        </w:rPr>
      </w:pPr>
      <w:r w:rsidRPr="005F1600">
        <w:rPr>
          <w:rFonts w:ascii="Cambria" w:hAnsi="Cambria" w:cs="Arial"/>
          <w:color w:val="000000"/>
        </w:rPr>
        <w:t xml:space="preserve">Corporations, Limited Liability Companies and/or Other Business Types </w:t>
      </w:r>
    </w:p>
    <w:p w:rsidRPr="00E87509" w:rsidR="006847BE" w:rsidP="006847BE" w:rsidRDefault="006847BE" w14:paraId="47E6EE6E" w14:textId="77777777">
      <w:pPr>
        <w:autoSpaceDE w:val="0"/>
        <w:autoSpaceDN w:val="0"/>
        <w:jc w:val="both"/>
        <w:rPr>
          <w:rFonts w:ascii="Cambria" w:hAnsi="Cambria" w:cs="Arial"/>
          <w:color w:val="000000"/>
        </w:rPr>
      </w:pPr>
    </w:p>
    <w:p w:rsidR="006847BE" w:rsidP="006847BE" w:rsidRDefault="006847BE" w14:paraId="60E68525" w14:textId="1E1CCF40">
      <w:pPr>
        <w:autoSpaceDE w:val="0"/>
        <w:autoSpaceDN w:val="0"/>
        <w:jc w:val="both"/>
        <w:rPr>
          <w:rFonts w:ascii="Cambria" w:hAnsi="Cambria" w:cs="Arial"/>
          <w:color w:val="000000"/>
        </w:rPr>
      </w:pPr>
      <w:r>
        <w:rPr>
          <w:rFonts w:ascii="Cambria" w:hAnsi="Cambria" w:cs="Arial"/>
          <w:color w:val="000000"/>
        </w:rPr>
        <w:t xml:space="preserve">Our firm does not impose </w:t>
      </w:r>
      <w:r w:rsidRPr="00E87509">
        <w:rPr>
          <w:rFonts w:ascii="Cambria" w:hAnsi="Cambria" w:cs="Arial"/>
          <w:color w:val="000000"/>
        </w:rPr>
        <w:t xml:space="preserve">requirements for opening and maintaining accounts </w:t>
      </w:r>
      <w:r w:rsidR="005F1600">
        <w:rPr>
          <w:rFonts w:ascii="Cambria" w:hAnsi="Cambria" w:cs="Arial"/>
          <w:color w:val="000000"/>
        </w:rPr>
        <w:t>for our Asset Management services.</w:t>
      </w:r>
    </w:p>
    <w:p w:rsidR="005F1600" w:rsidP="006847BE" w:rsidRDefault="005F1600" w14:paraId="1C078A2D" w14:textId="526246ED">
      <w:pPr>
        <w:autoSpaceDE w:val="0"/>
        <w:autoSpaceDN w:val="0"/>
        <w:jc w:val="both"/>
        <w:rPr>
          <w:rFonts w:ascii="Cambria" w:hAnsi="Cambria" w:cs="Arial"/>
          <w:color w:val="000000"/>
        </w:rPr>
      </w:pPr>
    </w:p>
    <w:p w:rsidRPr="00E87509" w:rsidR="005F1600" w:rsidP="006847BE" w:rsidRDefault="005F1600" w14:paraId="1F47D1A2" w14:textId="51BB54A0">
      <w:pPr>
        <w:autoSpaceDE w:val="0"/>
        <w:autoSpaceDN w:val="0"/>
        <w:jc w:val="both"/>
        <w:rPr>
          <w:rFonts w:ascii="Cambria" w:hAnsi="Cambria" w:cs="Arial"/>
          <w:color w:val="000000"/>
        </w:rPr>
      </w:pPr>
      <w:r w:rsidRPr="003B417D">
        <w:rPr>
          <w:rFonts w:ascii="Cambria" w:hAnsi="Cambria"/>
          <w:b/>
        </w:rPr>
        <w:t xml:space="preserve">Institutional Intelligent </w:t>
      </w:r>
      <w:proofErr w:type="spellStart"/>
      <w:r w:rsidRPr="003B417D">
        <w:rPr>
          <w:rFonts w:ascii="Cambria" w:hAnsi="Cambria"/>
          <w:b/>
        </w:rPr>
        <w:t>Portfolios</w:t>
      </w:r>
      <w:r w:rsidRPr="003B417D">
        <w:rPr>
          <w:rFonts w:ascii="Cambria" w:hAnsi="Cambria"/>
          <w:b/>
          <w:vertAlign w:val="superscript"/>
        </w:rPr>
        <w:t>TM</w:t>
      </w:r>
      <w:proofErr w:type="spellEnd"/>
      <w:r w:rsidRPr="003B417D">
        <w:rPr>
          <w:rFonts w:ascii="Cambria" w:hAnsi="Cambria"/>
          <w:b/>
        </w:rPr>
        <w:t>:</w:t>
      </w:r>
      <w:r>
        <w:rPr>
          <w:rFonts w:ascii="Cambria" w:hAnsi="Cambria"/>
          <w:b/>
        </w:rPr>
        <w:t xml:space="preserve"> </w:t>
      </w:r>
      <w:r w:rsidRPr="00ED5628">
        <w:rPr>
          <w:rFonts w:ascii="Cambria" w:hAnsi="Cambria"/>
        </w:rPr>
        <w:t>Clients eligible to enroll in the Program include individuals, IRAs and revocable living trusts. Clients that are</w:t>
      </w:r>
      <w:r>
        <w:rPr>
          <w:rFonts w:ascii="Cambria" w:hAnsi="Cambria"/>
        </w:rPr>
        <w:t xml:space="preserve"> </w:t>
      </w:r>
      <w:r w:rsidRPr="00ED5628">
        <w:rPr>
          <w:rFonts w:ascii="Cambria" w:hAnsi="Cambria"/>
        </w:rPr>
        <w:t>organizations (such as corporations and partnerships) or government entities, and clients that are subject to the</w:t>
      </w:r>
      <w:r>
        <w:rPr>
          <w:rFonts w:ascii="Cambria" w:hAnsi="Cambria"/>
        </w:rPr>
        <w:t xml:space="preserve"> </w:t>
      </w:r>
      <w:r w:rsidRPr="00ED5628">
        <w:rPr>
          <w:rFonts w:ascii="Cambria" w:hAnsi="Cambria"/>
        </w:rPr>
        <w:t xml:space="preserve">Employee Retirement Income Security Act of 1974, are not </w:t>
      </w:r>
      <w:r w:rsidRPr="003B417D">
        <w:rPr>
          <w:rFonts w:ascii="Cambria" w:hAnsi="Cambria"/>
        </w:rPr>
        <w:t>eligible for the Program. The minimum investment required to open an account in the Program is $5,000. The Program Disclosure Brochure describes related minimum required account balances for maintenance of the account, automatic rebalancing, and tax-loss harvesting.</w:t>
      </w:r>
    </w:p>
    <w:p w:rsidRPr="00E87509" w:rsidR="006847BE" w:rsidP="006847BE" w:rsidRDefault="006847BE" w14:paraId="068ED874" w14:textId="77777777">
      <w:pPr>
        <w:pStyle w:val="NoSpacing"/>
        <w:jc w:val="center"/>
        <w:rPr>
          <w:rFonts w:ascii="Cambria" w:hAnsi="Cambria" w:cs="Arial"/>
        </w:rPr>
      </w:pPr>
    </w:p>
    <w:p w:rsidRPr="00594E59" w:rsidR="006847BE" w:rsidP="0002356D" w:rsidRDefault="006847BE" w14:paraId="31127EDB"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bCs/>
        </w:rPr>
      </w:pPr>
      <w:bookmarkStart w:name="_Toc358989482" w:id="14"/>
    </w:p>
    <w:p w:rsidR="006847BE" w:rsidP="0002356D" w:rsidRDefault="006847BE" w14:paraId="2D99718D"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bCs/>
          <w:sz w:val="24"/>
          <w:szCs w:val="24"/>
        </w:rPr>
      </w:pPr>
      <w:bookmarkStart w:name="_Toc1981601" w:id="15"/>
      <w:r w:rsidRPr="00DF224D">
        <w:rPr>
          <w:rFonts w:ascii="Cambria" w:hAnsi="Cambria" w:cs="Arial"/>
          <w:b/>
          <w:bCs/>
          <w:sz w:val="24"/>
          <w:szCs w:val="24"/>
        </w:rPr>
        <w:t>Item 8: Methods of Analysis, Investment Strategies &amp; Risk of Loss</w:t>
      </w:r>
      <w:bookmarkEnd w:id="14"/>
      <w:bookmarkEnd w:id="15"/>
    </w:p>
    <w:p w:rsidRPr="00594E59" w:rsidR="006847BE" w:rsidP="0002356D" w:rsidRDefault="006847BE" w14:paraId="72A5E777"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bCs/>
        </w:rPr>
      </w:pPr>
    </w:p>
    <w:p w:rsidRPr="00E87509" w:rsidR="00B37D17" w:rsidP="00B37D17" w:rsidRDefault="00B37D17" w14:paraId="74E2BD29" w14:textId="77777777">
      <w:pPr>
        <w:pStyle w:val="NoSpacing"/>
        <w:jc w:val="center"/>
        <w:outlineLvl w:val="0"/>
        <w:rPr>
          <w:rFonts w:ascii="Cambria" w:hAnsi="Cambria" w:cs="Arial"/>
          <w:b/>
          <w:bCs/>
          <w:u w:val="single"/>
        </w:rPr>
      </w:pPr>
    </w:p>
    <w:p w:rsidRPr="008A75CC" w:rsidR="008A75CC" w:rsidP="008A75CC" w:rsidRDefault="00B8390A" w14:paraId="397FB2AC" w14:textId="77777777">
      <w:pPr>
        <w:pBdr>
          <w:bottom w:val="single" w:color="auto" w:sz="4" w:space="1"/>
        </w:pBdr>
        <w:tabs>
          <w:tab w:val="left" w:pos="720"/>
        </w:tabs>
        <w:jc w:val="both"/>
        <w:rPr>
          <w:rFonts w:ascii="Cambria" w:hAnsi="Cambria" w:cs="Arial"/>
          <w:b/>
        </w:rPr>
      </w:pPr>
      <w:r>
        <w:rPr>
          <w:rFonts w:ascii="Cambria" w:hAnsi="Cambria" w:cs="Arial"/>
          <w:b/>
        </w:rPr>
        <w:t>Methods of Analysis</w:t>
      </w:r>
    </w:p>
    <w:p w:rsidRPr="008A75CC" w:rsidR="008A75CC" w:rsidP="008A75CC" w:rsidRDefault="008A75CC" w14:paraId="72F65629" w14:textId="77777777">
      <w:pPr>
        <w:tabs>
          <w:tab w:val="left" w:pos="720"/>
        </w:tabs>
        <w:jc w:val="both"/>
        <w:rPr>
          <w:rFonts w:ascii="Cambria" w:hAnsi="Cambria" w:cs="Arial"/>
          <w:u w:val="single"/>
        </w:rPr>
      </w:pPr>
    </w:p>
    <w:p w:rsidRPr="008A75CC" w:rsidR="008A75CC" w:rsidP="008A75CC" w:rsidRDefault="008A75CC" w14:paraId="6F544F63" w14:textId="77777777">
      <w:pPr>
        <w:tabs>
          <w:tab w:val="left" w:pos="720"/>
        </w:tabs>
        <w:jc w:val="both"/>
        <w:rPr>
          <w:rFonts w:ascii="Cambria" w:hAnsi="Cambria" w:cs="Arial"/>
          <w:u w:val="single"/>
        </w:rPr>
      </w:pPr>
      <w:r w:rsidRPr="008A75CC">
        <w:rPr>
          <w:rFonts w:ascii="Cambria" w:hAnsi="Cambria" w:cs="Arial"/>
        </w:rPr>
        <w:t>We use the following methods of analysis in formulating our investment advice and/or managing client assets:</w:t>
      </w:r>
    </w:p>
    <w:p w:rsidR="000A2D62" w:rsidP="008A75CC" w:rsidRDefault="000A2D62" w14:paraId="3D7DA2F5" w14:textId="669E63AC">
      <w:pPr>
        <w:jc w:val="both"/>
        <w:rPr>
          <w:rFonts w:ascii="Cambria" w:hAnsi="Cambria" w:cs="Arial"/>
          <w:highlight w:val="yellow"/>
        </w:rPr>
      </w:pPr>
    </w:p>
    <w:p w:rsidRPr="00A83986" w:rsidR="005F1600" w:rsidP="005F1600" w:rsidRDefault="005F1600" w14:paraId="39051329" w14:textId="77777777">
      <w:pPr>
        <w:jc w:val="both"/>
        <w:rPr>
          <w:rFonts w:ascii="Cambria" w:hAnsi="Cambria"/>
          <w:bCs/>
          <w:iCs/>
          <w:lang w:val="en"/>
        </w:rPr>
      </w:pPr>
      <w:r w:rsidRPr="00A83986">
        <w:rPr>
          <w:rFonts w:ascii="Cambria" w:hAnsi="Cambria"/>
          <w:b/>
          <w:bCs/>
          <w:iCs/>
        </w:rPr>
        <w:t xml:space="preserve">Fundamental Analysis: </w:t>
      </w:r>
      <w:proofErr w:type="spellStart"/>
      <w:r w:rsidRPr="00A83986">
        <w:rPr>
          <w:rFonts w:ascii="Cambria" w:hAnsi="Cambria"/>
          <w:bCs/>
          <w:iCs/>
        </w:rPr>
        <w:t>T</w:t>
      </w:r>
      <w:r w:rsidRPr="00A83986">
        <w:rPr>
          <w:rFonts w:ascii="Cambria" w:hAnsi="Cambria"/>
          <w:bCs/>
          <w:iCs/>
          <w:lang w:val="en"/>
        </w:rPr>
        <w:t>he</w:t>
      </w:r>
      <w:proofErr w:type="spellEnd"/>
      <w:r w:rsidRPr="00A83986">
        <w:rPr>
          <w:rFonts w:ascii="Cambria" w:hAnsi="Cambria"/>
          <w:bCs/>
          <w:iCs/>
          <w:lang w:val="en"/>
        </w:rPr>
        <w:t xml:space="preserve"> analysis of a business's </w:t>
      </w:r>
      <w:r w:rsidRPr="00A83986">
        <w:rPr>
          <w:rFonts w:ascii="Cambria" w:hAnsi="Cambria"/>
        </w:rPr>
        <w:t>financial statements</w:t>
      </w:r>
      <w:r w:rsidRPr="00A83986">
        <w:rPr>
          <w:rFonts w:ascii="Cambria" w:hAnsi="Cambria"/>
          <w:bCs/>
          <w:iCs/>
          <w:lang w:val="en"/>
        </w:rPr>
        <w:t xml:space="preserve"> (usually to analyze the business's </w:t>
      </w:r>
      <w:r w:rsidRPr="00A83986">
        <w:rPr>
          <w:rFonts w:ascii="Cambria" w:hAnsi="Cambria"/>
        </w:rPr>
        <w:t>assets</w:t>
      </w:r>
      <w:r w:rsidRPr="00A83986">
        <w:rPr>
          <w:rFonts w:ascii="Cambria" w:hAnsi="Cambria"/>
          <w:bCs/>
          <w:iCs/>
          <w:lang w:val="en"/>
        </w:rPr>
        <w:t xml:space="preserve">, </w:t>
      </w:r>
      <w:r w:rsidRPr="00A83986">
        <w:rPr>
          <w:rFonts w:ascii="Cambria" w:hAnsi="Cambria"/>
        </w:rPr>
        <w:t>liabilities</w:t>
      </w:r>
      <w:r w:rsidRPr="00A83986">
        <w:rPr>
          <w:rFonts w:ascii="Cambria" w:hAnsi="Cambria"/>
          <w:bCs/>
          <w:iCs/>
          <w:lang w:val="en"/>
        </w:rPr>
        <w:t xml:space="preserve">, and </w:t>
      </w:r>
      <w:r w:rsidRPr="00A83986">
        <w:rPr>
          <w:rFonts w:ascii="Cambria" w:hAnsi="Cambria"/>
        </w:rPr>
        <w:t>earnings</w:t>
      </w:r>
      <w:r w:rsidRPr="00A83986">
        <w:rPr>
          <w:rFonts w:ascii="Cambria" w:hAnsi="Cambria"/>
          <w:bCs/>
          <w:iCs/>
          <w:lang w:val="en"/>
        </w:rPr>
        <w:t xml:space="preserve">), health, and its </w:t>
      </w:r>
      <w:r w:rsidRPr="00A83986">
        <w:rPr>
          <w:rFonts w:ascii="Cambria" w:hAnsi="Cambria"/>
        </w:rPr>
        <w:t>competitors</w:t>
      </w:r>
      <w:r w:rsidRPr="00A83986">
        <w:rPr>
          <w:rFonts w:ascii="Cambria" w:hAnsi="Cambria"/>
          <w:bCs/>
          <w:iCs/>
          <w:lang w:val="en"/>
        </w:rPr>
        <w:t xml:space="preserve"> and </w:t>
      </w:r>
      <w:r w:rsidRPr="00A83986">
        <w:rPr>
          <w:rFonts w:ascii="Cambria" w:hAnsi="Cambria"/>
        </w:rPr>
        <w:t>markets</w:t>
      </w:r>
      <w:r w:rsidRPr="00A83986">
        <w:rPr>
          <w:rFonts w:ascii="Cambria" w:hAnsi="Cambria"/>
          <w:bCs/>
          <w:iCs/>
          <w:lang w:val="en"/>
        </w:rPr>
        <w:t xml:space="preserve">. When analyzing a stock, futures contract, or currency using fundamental analysis there are two basic approaches one can use: </w:t>
      </w:r>
      <w:proofErr w:type="gramStart"/>
      <w:r w:rsidRPr="00A83986">
        <w:rPr>
          <w:rFonts w:ascii="Cambria" w:hAnsi="Cambria"/>
          <w:bCs/>
          <w:iCs/>
          <w:lang w:val="en"/>
        </w:rPr>
        <w:t>bottom up</w:t>
      </w:r>
      <w:proofErr w:type="gramEnd"/>
      <w:r w:rsidRPr="00A83986">
        <w:rPr>
          <w:rFonts w:ascii="Cambria" w:hAnsi="Cambria"/>
          <w:bCs/>
          <w:iCs/>
          <w:lang w:val="en"/>
        </w:rPr>
        <w:t xml:space="preserve"> analysis and top down analysis. The terms are used to distinguish such analysis from other types of </w:t>
      </w:r>
      <w:r w:rsidRPr="00A83986">
        <w:rPr>
          <w:rFonts w:ascii="Cambria" w:hAnsi="Cambria"/>
        </w:rPr>
        <w:t>investment analysis</w:t>
      </w:r>
      <w:r w:rsidRPr="00A83986">
        <w:rPr>
          <w:rFonts w:ascii="Cambria" w:hAnsi="Cambria"/>
          <w:bCs/>
          <w:iCs/>
          <w:lang w:val="en"/>
        </w:rPr>
        <w:t xml:space="preserve">, such as </w:t>
      </w:r>
      <w:r w:rsidRPr="00A83986">
        <w:rPr>
          <w:rFonts w:ascii="Cambria" w:hAnsi="Cambria"/>
        </w:rPr>
        <w:t>quantitative</w:t>
      </w:r>
      <w:r w:rsidRPr="00A83986">
        <w:rPr>
          <w:rFonts w:ascii="Cambria" w:hAnsi="Cambria"/>
          <w:bCs/>
          <w:iCs/>
          <w:lang w:val="en"/>
        </w:rPr>
        <w:t xml:space="preserve"> and </w:t>
      </w:r>
      <w:r w:rsidRPr="00A83986">
        <w:rPr>
          <w:rFonts w:ascii="Cambria" w:hAnsi="Cambria"/>
        </w:rPr>
        <w:t>technical</w:t>
      </w:r>
      <w:r w:rsidRPr="00A83986">
        <w:rPr>
          <w:rFonts w:ascii="Cambria" w:hAnsi="Cambria"/>
          <w:bCs/>
          <w:iCs/>
          <w:lang w:val="en"/>
        </w:rPr>
        <w:t>.</w:t>
      </w:r>
      <w:r w:rsidRPr="00A83986">
        <w:rPr>
          <w:rFonts w:ascii="Cambria" w:hAnsi="Cambria" w:eastAsia="Times New Roman"/>
          <w:lang w:val="en"/>
        </w:rPr>
        <w:t xml:space="preserve"> </w:t>
      </w:r>
      <w:r w:rsidRPr="00A83986">
        <w:rPr>
          <w:rFonts w:ascii="Cambria" w:hAnsi="Cambria"/>
          <w:bCs/>
          <w:iCs/>
          <w:lang w:val="en"/>
        </w:rPr>
        <w:t xml:space="preserve">Fundamental analysis is performed on historical and present data, but with the goal of making financial </w:t>
      </w:r>
      <w:r w:rsidRPr="00A83986">
        <w:rPr>
          <w:rFonts w:ascii="Cambria" w:hAnsi="Cambria"/>
        </w:rPr>
        <w:t>forecasts</w:t>
      </w:r>
      <w:r w:rsidRPr="00A83986">
        <w:rPr>
          <w:rFonts w:ascii="Cambria" w:hAnsi="Cambria"/>
          <w:bCs/>
          <w:iCs/>
          <w:lang w:val="en"/>
        </w:rPr>
        <w:t xml:space="preserve">. There are several possible objectives: (a) to conduct a company </w:t>
      </w:r>
      <w:r w:rsidRPr="00A83986">
        <w:rPr>
          <w:rFonts w:ascii="Cambria" w:hAnsi="Cambria"/>
        </w:rPr>
        <w:t>stock valuation</w:t>
      </w:r>
      <w:r w:rsidRPr="00A83986">
        <w:rPr>
          <w:rFonts w:ascii="Cambria" w:hAnsi="Cambria"/>
          <w:bCs/>
          <w:iCs/>
          <w:lang w:val="en"/>
        </w:rPr>
        <w:t xml:space="preserve"> and predict its probable price evolution; (b) to make a projection on its business performance; (c) to evaluate its management and make internal business decisions; (d) and/or to calculate its </w:t>
      </w:r>
      <w:r w:rsidRPr="00A83986">
        <w:rPr>
          <w:rFonts w:ascii="Cambria" w:hAnsi="Cambria"/>
        </w:rPr>
        <w:t>credit risk</w:t>
      </w:r>
      <w:r w:rsidRPr="00A83986">
        <w:rPr>
          <w:rFonts w:ascii="Cambria" w:hAnsi="Cambria"/>
          <w:bCs/>
          <w:iCs/>
          <w:lang w:val="en"/>
        </w:rPr>
        <w:t>.; and (e) to find out the intrinsic value of the share.</w:t>
      </w:r>
    </w:p>
    <w:p w:rsidR="005F1600" w:rsidP="005F1600" w:rsidRDefault="005F1600" w14:paraId="6562B7EA" w14:textId="6E1AD694">
      <w:pPr>
        <w:jc w:val="both"/>
        <w:rPr>
          <w:rFonts w:ascii="Cambria" w:hAnsi="Cambria"/>
        </w:rPr>
      </w:pPr>
      <w:r w:rsidRPr="00A83986">
        <w:rPr>
          <w:rFonts w:ascii="Cambria" w:hAnsi="Cambria"/>
          <w:bCs/>
          <w:iCs/>
          <w:lang w:val="en"/>
        </w:rPr>
        <w:lastRenderedPageBreak/>
        <w:t xml:space="preserve">When the objective of the analysis is to determine what stock to buy and at what price, there are two basic methodologies investors rely upon: (a) Fundamental analysis maintains that markets may misprice a security in the short run but that the "correct" price will eventually be reached. </w:t>
      </w:r>
      <w:r w:rsidRPr="00A83986">
        <w:rPr>
          <w:rFonts w:ascii="Cambria" w:hAnsi="Cambria"/>
        </w:rPr>
        <w:t>Profits</w:t>
      </w:r>
      <w:r w:rsidRPr="00A83986">
        <w:rPr>
          <w:rFonts w:ascii="Cambria" w:hAnsi="Cambria"/>
          <w:bCs/>
          <w:iCs/>
          <w:lang w:val="en"/>
        </w:rPr>
        <w:t xml:space="preserve"> can be made by purchasing the mispriced security and then waiting for the market to recognize its "mistake" and reprice the security.; and (b) </w:t>
      </w:r>
      <w:r w:rsidRPr="00A83986">
        <w:rPr>
          <w:rFonts w:ascii="Cambria" w:hAnsi="Cambria"/>
        </w:rPr>
        <w:t>Technical analysis</w:t>
      </w:r>
      <w:r w:rsidRPr="00A83986">
        <w:rPr>
          <w:rFonts w:ascii="Cambria" w:hAnsi="Cambria"/>
          <w:bCs/>
          <w:iCs/>
          <w:lang w:val="en"/>
        </w:rPr>
        <w:t xml:space="preserve"> maintains that all information is reflected already in the price of a </w:t>
      </w:r>
      <w:r w:rsidRPr="00A83986">
        <w:rPr>
          <w:rFonts w:ascii="Cambria" w:hAnsi="Cambria"/>
        </w:rPr>
        <w:t>security</w:t>
      </w:r>
      <w:r w:rsidRPr="00A83986">
        <w:rPr>
          <w:rFonts w:ascii="Cambria" w:hAnsi="Cambria"/>
          <w:bCs/>
          <w:iCs/>
          <w:lang w:val="en"/>
        </w:rPr>
        <w:t xml:space="preserve">. Technical analysts analyze trends and believe that sentiment changes predate and predict trend changes. Investors' emotional responses to price movements lead to recognizable price chart patterns. Technical analysts also analyze historical trends to predict future price movement. Investors can use one or </w:t>
      </w:r>
      <w:proofErr w:type="gramStart"/>
      <w:r w:rsidRPr="00A83986">
        <w:rPr>
          <w:rFonts w:ascii="Cambria" w:hAnsi="Cambria"/>
          <w:bCs/>
          <w:iCs/>
          <w:lang w:val="en"/>
        </w:rPr>
        <w:t>both of these</w:t>
      </w:r>
      <w:proofErr w:type="gramEnd"/>
      <w:r w:rsidRPr="00A83986">
        <w:rPr>
          <w:rFonts w:ascii="Cambria" w:hAnsi="Cambria"/>
          <w:bCs/>
          <w:iCs/>
          <w:lang w:val="en"/>
        </w:rPr>
        <w:t xml:space="preserve"> different but complementary methods for stock picking. </w:t>
      </w:r>
      <w:r w:rsidRPr="00A83986">
        <w:rPr>
          <w:rFonts w:ascii="Cambria" w:hAnsi="Cambria"/>
        </w:rPr>
        <w:t>This presents a potential risk, as the price of a security can move up or down along with the overall market regardless of the economic and financial factors considered in evaluating the stock.</w:t>
      </w:r>
    </w:p>
    <w:p w:rsidR="005F1600" w:rsidP="005F1600" w:rsidRDefault="005F1600" w14:paraId="16A6E2FB" w14:textId="78B7D984">
      <w:pPr>
        <w:jc w:val="both"/>
        <w:rPr>
          <w:rFonts w:ascii="Cambria" w:hAnsi="Cambria"/>
        </w:rPr>
      </w:pPr>
    </w:p>
    <w:p w:rsidR="005F1600" w:rsidP="005F1600" w:rsidRDefault="005F1600" w14:paraId="40208F5E" w14:textId="2B6D3082">
      <w:pPr>
        <w:jc w:val="both"/>
        <w:rPr>
          <w:rFonts w:ascii="Cambria" w:hAnsi="Cambria" w:cs="Arial"/>
          <w:highlight w:val="yellow"/>
        </w:rPr>
      </w:pPr>
      <w:r w:rsidRPr="00A83986">
        <w:rPr>
          <w:rFonts w:ascii="Cambria" w:hAnsi="Cambria"/>
          <w:b/>
          <w:bCs/>
          <w:iCs/>
        </w:rPr>
        <w:t xml:space="preserve">Technical Analysis: </w:t>
      </w:r>
      <w:r w:rsidRPr="00A83986">
        <w:rPr>
          <w:rFonts w:ascii="Cambria" w:hAnsi="Cambria"/>
          <w:bCs/>
          <w:iCs/>
        </w:rPr>
        <w:t>A</w:t>
      </w:r>
      <w:r w:rsidRPr="00A83986">
        <w:rPr>
          <w:rFonts w:ascii="Cambria" w:hAnsi="Cambria"/>
          <w:bCs/>
          <w:iCs/>
          <w:lang w:val="en"/>
        </w:rPr>
        <w:t xml:space="preserve"> </w:t>
      </w:r>
      <w:r w:rsidRPr="00A83986">
        <w:rPr>
          <w:rFonts w:ascii="Cambria" w:hAnsi="Cambria"/>
        </w:rPr>
        <w:t>security analysis</w:t>
      </w:r>
      <w:r w:rsidRPr="00A83986">
        <w:rPr>
          <w:rFonts w:ascii="Cambria" w:hAnsi="Cambria"/>
          <w:bCs/>
          <w:iCs/>
          <w:lang w:val="en"/>
        </w:rPr>
        <w:t xml:space="preserve"> methodology for forecasting the direction of </w:t>
      </w:r>
      <w:r w:rsidRPr="00A83986">
        <w:rPr>
          <w:rFonts w:ascii="Cambria" w:hAnsi="Cambria"/>
        </w:rPr>
        <w:t>prices</w:t>
      </w:r>
      <w:r w:rsidRPr="00A83986">
        <w:rPr>
          <w:rFonts w:ascii="Cambria" w:hAnsi="Cambria"/>
          <w:bCs/>
          <w:iCs/>
          <w:lang w:val="en"/>
        </w:rPr>
        <w:t xml:space="preserve"> through the study of past market data, primarily price and volume. A fundamental principle of technical analysis is that a market's price reflects all relevant information, so their analysis looks at the history of a security's trading pattern rather than external drivers such as economic, fundamental and news events. Therefore, price action tends to repeat itself due to investors collectively tending toward patterned behavior – hence technical analysis focuses on identifiable trends and conditions.</w:t>
      </w:r>
      <w:r w:rsidRPr="00A83986">
        <w:rPr>
          <w:rFonts w:ascii="Cambria" w:hAnsi="Cambria"/>
          <w:bCs/>
          <w:iCs/>
          <w:vertAlign w:val="superscript"/>
          <w:lang w:val="en"/>
        </w:rPr>
        <w:t xml:space="preserve"> </w:t>
      </w:r>
      <w:r w:rsidRPr="00A83986">
        <w:rPr>
          <w:rFonts w:ascii="Cambria" w:hAnsi="Cambria"/>
          <w:bCs/>
          <w:iCs/>
          <w:lang w:val="en"/>
        </w:rPr>
        <w:t xml:space="preserve">Technical analysts also widely use market indicators of many sorts, some of which are mathematical transformations of price, often including up and down volume, advance/decline data and other inputs. These indicators are used to help assess whether an asset is trending, and if it is, the probability of its direction and of continuation. Technicians also look for relationships between price/volume indices and market indicators. Technical analysis employs models and trading rules based on price and volume transformations, such as the </w:t>
      </w:r>
      <w:r w:rsidRPr="00A83986">
        <w:rPr>
          <w:rFonts w:ascii="Cambria" w:hAnsi="Cambria"/>
        </w:rPr>
        <w:t>relative strength index</w:t>
      </w:r>
      <w:r w:rsidRPr="00A83986">
        <w:rPr>
          <w:rFonts w:ascii="Cambria" w:hAnsi="Cambria"/>
          <w:bCs/>
          <w:iCs/>
          <w:lang w:val="en"/>
        </w:rPr>
        <w:t xml:space="preserve">, </w:t>
      </w:r>
      <w:r w:rsidRPr="00A83986">
        <w:rPr>
          <w:rFonts w:ascii="Cambria" w:hAnsi="Cambria"/>
        </w:rPr>
        <w:t>moving averages</w:t>
      </w:r>
      <w:r w:rsidRPr="00A83986">
        <w:rPr>
          <w:rFonts w:ascii="Cambria" w:hAnsi="Cambria"/>
          <w:bCs/>
          <w:iCs/>
          <w:lang w:val="en"/>
        </w:rPr>
        <w:t xml:space="preserve">, </w:t>
      </w:r>
      <w:r w:rsidRPr="00A83986">
        <w:rPr>
          <w:rFonts w:ascii="Cambria" w:hAnsi="Cambria"/>
        </w:rPr>
        <w:t>regressions</w:t>
      </w:r>
      <w:r w:rsidRPr="00A83986">
        <w:rPr>
          <w:rFonts w:ascii="Cambria" w:hAnsi="Cambria"/>
          <w:bCs/>
          <w:iCs/>
          <w:lang w:val="en"/>
        </w:rPr>
        <w:t xml:space="preserve">, inter-market and intra-market price correlations, </w:t>
      </w:r>
      <w:r w:rsidRPr="00A83986">
        <w:rPr>
          <w:rFonts w:ascii="Cambria" w:hAnsi="Cambria"/>
        </w:rPr>
        <w:t>business cycles</w:t>
      </w:r>
      <w:r w:rsidRPr="00A83986">
        <w:rPr>
          <w:rFonts w:ascii="Cambria" w:hAnsi="Cambria"/>
          <w:bCs/>
          <w:iCs/>
          <w:lang w:val="en"/>
        </w:rPr>
        <w:t xml:space="preserve">, </w:t>
      </w:r>
      <w:r w:rsidRPr="00A83986">
        <w:rPr>
          <w:rFonts w:ascii="Cambria" w:hAnsi="Cambria"/>
        </w:rPr>
        <w:t>stock market cycles</w:t>
      </w:r>
      <w:r w:rsidRPr="00A83986">
        <w:rPr>
          <w:rFonts w:ascii="Cambria" w:hAnsi="Cambria"/>
          <w:bCs/>
          <w:iCs/>
          <w:lang w:val="en"/>
        </w:rPr>
        <w:t xml:space="preserve"> or, classically, through recognition of chart patterns. Technical analysis is widely used among traders and financial professionals and is very often used by active </w:t>
      </w:r>
      <w:r w:rsidRPr="00A83986">
        <w:rPr>
          <w:rFonts w:ascii="Cambria" w:hAnsi="Cambria"/>
        </w:rPr>
        <w:t>day traders</w:t>
      </w:r>
      <w:r w:rsidRPr="00A83986">
        <w:rPr>
          <w:rFonts w:ascii="Cambria" w:hAnsi="Cambria"/>
          <w:bCs/>
          <w:iCs/>
          <w:lang w:val="en"/>
        </w:rPr>
        <w:t>, market makers and pit traders. The risk associated with this type of analysis is that analysts use subjective judgment to decide which pattern(s) a particular instrument reflects at a given time and what the interpretation of that pattern should be.</w:t>
      </w:r>
    </w:p>
    <w:p w:rsidR="005F1600" w:rsidP="008A75CC" w:rsidRDefault="005F1600" w14:paraId="523F62A0" w14:textId="77777777">
      <w:pPr>
        <w:jc w:val="both"/>
        <w:rPr>
          <w:rFonts w:ascii="Cambria" w:hAnsi="Cambria" w:cs="Arial"/>
          <w:highlight w:val="yellow"/>
        </w:rPr>
      </w:pPr>
    </w:p>
    <w:p w:rsidRPr="007E32F6" w:rsidR="008A75CC" w:rsidP="008A75CC" w:rsidRDefault="008A75CC" w14:paraId="17E17470" w14:textId="77777777">
      <w:pPr>
        <w:pBdr>
          <w:bottom w:val="single" w:color="auto" w:sz="4" w:space="1"/>
        </w:pBdr>
        <w:jc w:val="both"/>
        <w:rPr>
          <w:rFonts w:ascii="Cambria" w:hAnsi="Cambria" w:cs="Arial"/>
          <w:b/>
        </w:rPr>
      </w:pPr>
      <w:r w:rsidRPr="007E32F6">
        <w:rPr>
          <w:rFonts w:ascii="Cambria" w:hAnsi="Cambria" w:cs="Arial"/>
          <w:b/>
        </w:rPr>
        <w:t xml:space="preserve">Investment </w:t>
      </w:r>
      <w:r w:rsidR="00B8390A">
        <w:rPr>
          <w:rFonts w:ascii="Cambria" w:hAnsi="Cambria" w:cs="Arial"/>
          <w:b/>
        </w:rPr>
        <w:t>Strategies We Use</w:t>
      </w:r>
    </w:p>
    <w:p w:rsidRPr="008A75CC" w:rsidR="008A75CC" w:rsidP="008A75CC" w:rsidRDefault="008A75CC" w14:paraId="3F3CA196" w14:textId="77777777">
      <w:pPr>
        <w:pStyle w:val="CM10"/>
        <w:jc w:val="both"/>
        <w:rPr>
          <w:rFonts w:cs="Times New Roman" w:asciiTheme="majorHAnsi" w:hAnsiTheme="majorHAnsi"/>
          <w:sz w:val="22"/>
          <w:szCs w:val="22"/>
        </w:rPr>
      </w:pPr>
    </w:p>
    <w:p w:rsidRPr="008A75CC" w:rsidR="008A75CC" w:rsidP="008A75CC" w:rsidRDefault="008A75CC" w14:paraId="140FDA7A" w14:textId="77777777">
      <w:pPr>
        <w:pStyle w:val="Default"/>
        <w:jc w:val="both"/>
        <w:rPr>
          <w:rFonts w:asciiTheme="majorHAnsi" w:hAnsiTheme="majorHAnsi"/>
          <w:color w:val="auto"/>
          <w:sz w:val="22"/>
          <w:szCs w:val="22"/>
        </w:rPr>
      </w:pPr>
      <w:r w:rsidRPr="008A75CC">
        <w:rPr>
          <w:rFonts w:asciiTheme="majorHAnsi" w:hAnsiTheme="majorHAnsi"/>
          <w:color w:val="auto"/>
          <w:sz w:val="22"/>
          <w:szCs w:val="22"/>
        </w:rPr>
        <w:t>We use the following strategies in managing client accounts, provided that such strategies are appropriate to the needs of the client and consistent with the client's investment objectives, risk tolerance, and time horiz</w:t>
      </w:r>
      <w:r>
        <w:rPr>
          <w:rFonts w:asciiTheme="majorHAnsi" w:hAnsiTheme="majorHAnsi"/>
          <w:color w:val="auto"/>
          <w:sz w:val="22"/>
          <w:szCs w:val="22"/>
        </w:rPr>
        <w:t>ons, among other considerations:</w:t>
      </w:r>
    </w:p>
    <w:p w:rsidR="000A2D62" w:rsidP="00456D0C" w:rsidRDefault="000A2D62" w14:paraId="12728617" w14:textId="738ED3A7">
      <w:pPr>
        <w:jc w:val="both"/>
        <w:rPr>
          <w:rFonts w:ascii="Cambria" w:hAnsi="Cambria" w:cs="Arial"/>
          <w:highlight w:val="yellow"/>
        </w:rPr>
      </w:pPr>
    </w:p>
    <w:p w:rsidR="005F1600" w:rsidP="00456D0C" w:rsidRDefault="005F1600" w14:paraId="495A9FA2" w14:textId="554B6C6A">
      <w:pPr>
        <w:jc w:val="both"/>
        <w:rPr>
          <w:rFonts w:ascii="Cambria" w:hAnsi="Cambria"/>
        </w:rPr>
      </w:pPr>
      <w:r w:rsidRPr="00A83986">
        <w:rPr>
          <w:rFonts w:ascii="Cambria" w:hAnsi="Cambria"/>
          <w:b/>
        </w:rPr>
        <w:t>Long-Term Purchases:</w:t>
      </w:r>
      <w:r w:rsidRPr="00A83986">
        <w:rPr>
          <w:rFonts w:ascii="Cambria" w:hAnsi="Cambria"/>
        </w:rPr>
        <w:t xml:space="preserve"> Our firm may buy securities for your account and hold them for a relatively long time (more than a year) in anticipation that the security’s value will appreciate over a long horizon. The risk of this strategy is that our firm could miss out on potential short-term gains that could have been profitable to your account, or it’s possible that the security’s value may decline sharply before our firm </w:t>
      </w:r>
      <w:proofErr w:type="gramStart"/>
      <w:r w:rsidRPr="00A83986">
        <w:rPr>
          <w:rFonts w:ascii="Cambria" w:hAnsi="Cambria"/>
        </w:rPr>
        <w:t>make a decision</w:t>
      </w:r>
      <w:proofErr w:type="gramEnd"/>
      <w:r w:rsidRPr="00A83986">
        <w:rPr>
          <w:rFonts w:ascii="Cambria" w:hAnsi="Cambria"/>
        </w:rPr>
        <w:t xml:space="preserve"> to sell.</w:t>
      </w:r>
    </w:p>
    <w:p w:rsidR="005F1600" w:rsidP="00456D0C" w:rsidRDefault="005F1600" w14:paraId="498B139F" w14:textId="5B7A045B">
      <w:pPr>
        <w:jc w:val="both"/>
        <w:rPr>
          <w:rFonts w:ascii="Cambria" w:hAnsi="Cambria"/>
        </w:rPr>
      </w:pPr>
    </w:p>
    <w:p w:rsidRPr="007E32F6" w:rsidR="008A75CC" w:rsidP="008A75CC" w:rsidRDefault="008A75CC" w14:paraId="4E8EDF38" w14:textId="77777777">
      <w:pPr>
        <w:pBdr>
          <w:bottom w:val="single" w:color="auto" w:sz="4" w:space="1"/>
        </w:pBdr>
        <w:jc w:val="both"/>
        <w:rPr>
          <w:rFonts w:ascii="Cambria" w:hAnsi="Cambria" w:cs="Arial"/>
          <w:b/>
        </w:rPr>
      </w:pPr>
      <w:r w:rsidRPr="007E32F6">
        <w:rPr>
          <w:rFonts w:ascii="Cambria" w:hAnsi="Cambria" w:cs="Arial"/>
          <w:b/>
        </w:rPr>
        <w:t>Risk of Loss</w:t>
      </w:r>
    </w:p>
    <w:p w:rsidRPr="007E32F6" w:rsidR="008A75CC" w:rsidP="008A75CC" w:rsidRDefault="008A75CC" w14:paraId="5A165064" w14:textId="77777777">
      <w:pPr>
        <w:pStyle w:val="CM10"/>
        <w:jc w:val="both"/>
        <w:rPr>
          <w:rFonts w:cs="Times New Roman" w:asciiTheme="majorHAnsi" w:hAnsiTheme="majorHAnsi"/>
          <w:color w:val="8B1F07"/>
          <w:sz w:val="16"/>
          <w:szCs w:val="16"/>
        </w:rPr>
      </w:pPr>
    </w:p>
    <w:p w:rsidR="001E09E7" w:rsidP="004402CB" w:rsidRDefault="006847BE" w14:paraId="661B5F14" w14:textId="1E4D9F70">
      <w:pPr>
        <w:jc w:val="both"/>
        <w:rPr>
          <w:rFonts w:ascii="Cambria" w:hAnsi="Cambria" w:cs="Arial"/>
        </w:rPr>
      </w:pPr>
      <w:r w:rsidRPr="00E87509">
        <w:rPr>
          <w:rFonts w:ascii="Cambria" w:hAnsi="Cambria" w:cs="Arial"/>
        </w:rPr>
        <w:t xml:space="preserve">Investing in securities involves risk of loss that </w:t>
      </w:r>
      <w:r w:rsidRPr="00E87509">
        <w:rPr>
          <w:rFonts w:ascii="Cambria" w:hAnsi="Cambria" w:cs="Arial"/>
          <w:iCs/>
        </w:rPr>
        <w:t xml:space="preserve">clients </w:t>
      </w:r>
      <w:r w:rsidRPr="00E87509">
        <w:rPr>
          <w:rFonts w:ascii="Cambria" w:hAnsi="Cambria" w:cs="Arial"/>
        </w:rPr>
        <w:t xml:space="preserve">should be prepared to bear. While the stock market may increase and </w:t>
      </w:r>
      <w:r>
        <w:rPr>
          <w:rFonts w:ascii="Cambria" w:hAnsi="Cambria" w:cs="Arial"/>
        </w:rPr>
        <w:t>the</w:t>
      </w:r>
      <w:r w:rsidRPr="00E87509">
        <w:rPr>
          <w:rFonts w:ascii="Cambria" w:hAnsi="Cambria" w:cs="Arial"/>
        </w:rPr>
        <w:t xml:space="preserve"> account(s) could enjoy a gain, it is also possible that the stock market may </w:t>
      </w:r>
      <w:proofErr w:type="gramStart"/>
      <w:r w:rsidRPr="00E87509">
        <w:rPr>
          <w:rFonts w:ascii="Cambria" w:hAnsi="Cambria" w:cs="Arial"/>
        </w:rPr>
        <w:t>decrease</w:t>
      </w:r>
      <w:proofErr w:type="gramEnd"/>
      <w:r w:rsidRPr="00E87509">
        <w:rPr>
          <w:rFonts w:ascii="Cambria" w:hAnsi="Cambria" w:cs="Arial"/>
        </w:rPr>
        <w:t xml:space="preserve"> and </w:t>
      </w:r>
      <w:r>
        <w:rPr>
          <w:rFonts w:ascii="Cambria" w:hAnsi="Cambria" w:cs="Arial"/>
        </w:rPr>
        <w:t>the</w:t>
      </w:r>
      <w:r w:rsidRPr="00E87509">
        <w:rPr>
          <w:rFonts w:ascii="Cambria" w:hAnsi="Cambria" w:cs="Arial"/>
        </w:rPr>
        <w:t xml:space="preserve"> account(s) could suffer a loss. </w:t>
      </w:r>
      <w:r w:rsidRPr="00E87509" w:rsidR="0066248A">
        <w:rPr>
          <w:rFonts w:ascii="Cambria" w:hAnsi="Cambria" w:cs="Arial"/>
        </w:rPr>
        <w:t xml:space="preserve">It is important that </w:t>
      </w:r>
      <w:r w:rsidR="0066248A">
        <w:rPr>
          <w:rFonts w:ascii="Cambria" w:hAnsi="Cambria" w:cs="Arial"/>
        </w:rPr>
        <w:t>clients</w:t>
      </w:r>
      <w:r w:rsidRPr="00E87509" w:rsidR="0066248A">
        <w:rPr>
          <w:rFonts w:ascii="Cambria" w:hAnsi="Cambria" w:cs="Arial"/>
        </w:rPr>
        <w:t xml:space="preserve"> understand the risks </w:t>
      </w:r>
      <w:r w:rsidRPr="00E87509" w:rsidR="0066248A">
        <w:rPr>
          <w:rFonts w:ascii="Cambria" w:hAnsi="Cambria" w:cs="Arial"/>
        </w:rPr>
        <w:lastRenderedPageBreak/>
        <w:t xml:space="preserve">associated with investing in the stock market, </w:t>
      </w:r>
      <w:r w:rsidR="0066248A">
        <w:rPr>
          <w:rFonts w:ascii="Cambria" w:hAnsi="Cambria" w:cs="Arial"/>
        </w:rPr>
        <w:t xml:space="preserve">and that their assets </w:t>
      </w:r>
      <w:r w:rsidRPr="00E87509" w:rsidR="0066248A">
        <w:rPr>
          <w:rFonts w:ascii="Cambria" w:hAnsi="Cambria" w:cs="Arial"/>
        </w:rPr>
        <w:t>are appropriately diversified in investments</w:t>
      </w:r>
      <w:r w:rsidR="0066248A">
        <w:rPr>
          <w:rFonts w:ascii="Cambria" w:hAnsi="Cambria" w:cs="Arial"/>
        </w:rPr>
        <w:t>. Clients are encouraged to</w:t>
      </w:r>
      <w:r w:rsidRPr="00E87509" w:rsidR="0066248A">
        <w:rPr>
          <w:rFonts w:ascii="Cambria" w:hAnsi="Cambria" w:cs="Arial"/>
        </w:rPr>
        <w:t xml:space="preserve"> ask </w:t>
      </w:r>
      <w:r w:rsidR="0066248A">
        <w:rPr>
          <w:rFonts w:ascii="Cambria" w:hAnsi="Cambria" w:cs="Arial"/>
        </w:rPr>
        <w:t xml:space="preserve">our firm </w:t>
      </w:r>
      <w:r w:rsidRPr="00E87509" w:rsidR="0066248A">
        <w:rPr>
          <w:rFonts w:ascii="Cambria" w:hAnsi="Cambria" w:cs="Arial"/>
        </w:rPr>
        <w:t>any questions</w:t>
      </w:r>
      <w:r w:rsidR="0066248A">
        <w:rPr>
          <w:rFonts w:ascii="Cambria" w:hAnsi="Cambria" w:cs="Arial"/>
        </w:rPr>
        <w:t xml:space="preserve"> regarding their risk tolerance</w:t>
      </w:r>
      <w:r w:rsidRPr="00E87509" w:rsidR="0066248A">
        <w:rPr>
          <w:rFonts w:ascii="Cambria" w:hAnsi="Cambria" w:cs="Arial"/>
        </w:rPr>
        <w:t>.</w:t>
      </w:r>
      <w:r w:rsidR="0066248A">
        <w:rPr>
          <w:rFonts w:ascii="Cambria" w:hAnsi="Cambria" w:cs="Arial"/>
        </w:rPr>
        <w:t xml:space="preserve"> </w:t>
      </w:r>
      <w:r w:rsidR="002571E5">
        <w:rPr>
          <w:rFonts w:ascii="Cambria" w:hAnsi="Cambria" w:cs="Arial"/>
        </w:rPr>
        <w:t xml:space="preserve"> </w:t>
      </w:r>
    </w:p>
    <w:p w:rsidR="004402CB" w:rsidP="004402CB" w:rsidRDefault="004402CB" w14:paraId="22EA49F4" w14:textId="01896065">
      <w:pPr>
        <w:jc w:val="both"/>
        <w:rPr>
          <w:rFonts w:ascii="Cambria" w:hAnsi="Cambria" w:cs="Arial"/>
        </w:rPr>
      </w:pPr>
    </w:p>
    <w:p w:rsidR="004402CB" w:rsidP="004402CB" w:rsidRDefault="004402CB" w14:paraId="0E43C6F4" w14:textId="2EF46C85">
      <w:pPr>
        <w:jc w:val="both"/>
        <w:rPr>
          <w:rFonts w:ascii="Cambria" w:hAnsi="Cambria"/>
        </w:rPr>
      </w:pPr>
      <w:r w:rsidRPr="00A83986">
        <w:rPr>
          <w:rFonts w:ascii="Cambria" w:hAnsi="Cambria"/>
          <w:b/>
        </w:rPr>
        <w:t xml:space="preserve">Credit Risk: </w:t>
      </w:r>
      <w:r w:rsidRPr="00A83986">
        <w:rPr>
          <w:rFonts w:ascii="Cambria" w:hAnsi="Cambria"/>
        </w:rPr>
        <w:t>Credit risk can be a factor in situations where an investment’s performance relies on a borrower’s repayment of borrowed funds. With credit risk, an investor can experience a loss or unfavorable performance if a borrower does not repay the borrowed funds as expected or required. Investment holdings that involve forms of indebtedness (</w:t>
      </w:r>
      <w:proofErr w:type="gramStart"/>
      <w:r w:rsidRPr="00A83986">
        <w:rPr>
          <w:rFonts w:ascii="Cambria" w:hAnsi="Cambria"/>
        </w:rPr>
        <w:t>i.e.</w:t>
      </w:r>
      <w:proofErr w:type="gramEnd"/>
      <w:r w:rsidRPr="00A83986">
        <w:rPr>
          <w:rFonts w:ascii="Cambria" w:hAnsi="Cambria"/>
        </w:rPr>
        <w:t xml:space="preserve"> borrowed funds) are subject to credit risk.</w:t>
      </w:r>
    </w:p>
    <w:p w:rsidR="004402CB" w:rsidP="004402CB" w:rsidRDefault="004402CB" w14:paraId="71F3F7CA" w14:textId="4C4827DE">
      <w:pPr>
        <w:jc w:val="both"/>
        <w:rPr>
          <w:rFonts w:ascii="Cambria" w:hAnsi="Cambria"/>
        </w:rPr>
      </w:pPr>
    </w:p>
    <w:p w:rsidR="004402CB" w:rsidP="004402CB" w:rsidRDefault="004402CB" w14:paraId="072E5182" w14:textId="79AD9620">
      <w:pPr>
        <w:jc w:val="both"/>
        <w:rPr>
          <w:rFonts w:ascii="Cambria" w:hAnsi="Cambria"/>
        </w:rPr>
      </w:pPr>
      <w:r w:rsidRPr="00A83986">
        <w:rPr>
          <w:rFonts w:ascii="Cambria" w:hAnsi="Cambria"/>
          <w:b/>
        </w:rPr>
        <w:t xml:space="preserve">Economic Risk: </w:t>
      </w:r>
      <w:r w:rsidRPr="00A83986">
        <w:rPr>
          <w:rFonts w:ascii="Cambria" w:hAnsi="Cambria"/>
        </w:rPr>
        <w:t>The prevailing economic environment is important to the health of all businesses. Some companies, however, are more sensitive to changes in the domestic or global economy than others. These types of companies are often referred to as cyclical businesses. Countries in which a large portion of businesses are in cyclical industries are thus also very economically sensitive and carry a higher amount of economic risk. If an investment is issued by a party located in a country that experiences wide swings from an economic standpoint or in situations where certain elements of an investment instrument are hinged on dealings in such countries, the investment instrument will generally be subject to a higher level of economic risk.</w:t>
      </w:r>
    </w:p>
    <w:p w:rsidR="004402CB" w:rsidP="004402CB" w:rsidRDefault="004402CB" w14:paraId="13653560" w14:textId="0EA83380">
      <w:pPr>
        <w:jc w:val="both"/>
        <w:rPr>
          <w:rFonts w:ascii="Cambria" w:hAnsi="Cambria"/>
        </w:rPr>
      </w:pPr>
    </w:p>
    <w:p w:rsidR="004402CB" w:rsidP="004402CB" w:rsidRDefault="004402CB" w14:paraId="65CC635B" w14:textId="027E7A15">
      <w:pPr>
        <w:jc w:val="both"/>
        <w:rPr>
          <w:rFonts w:ascii="Cambria" w:hAnsi="Cambria"/>
        </w:rPr>
      </w:pPr>
      <w:r w:rsidRPr="00A83986">
        <w:rPr>
          <w:rFonts w:ascii="Cambria" w:hAnsi="Cambria"/>
          <w:b/>
        </w:rPr>
        <w:t>ETF &amp; Mutual Fund Risk</w:t>
      </w:r>
      <w:r w:rsidRPr="00A83986">
        <w:rPr>
          <w:rFonts w:ascii="Cambria" w:hAnsi="Cambria"/>
        </w:rPr>
        <w:t>: When investing in an ETF or mutual fund, you will bear additional expenses based on your pro rata share of the ETF’s or mutual fund’s operating expenses, including the potential duplication of management fees.  The risk of owning an ETF or mutual fund generally reflects the risks of owning the underlying securities the ETF or mutual fund holds.  Clients will also incur brokerage costs when purchasing ETFs.</w:t>
      </w:r>
    </w:p>
    <w:p w:rsidR="004402CB" w:rsidP="004402CB" w:rsidRDefault="004402CB" w14:paraId="491E2BA1" w14:textId="7BA95F94">
      <w:pPr>
        <w:jc w:val="both"/>
        <w:rPr>
          <w:rFonts w:ascii="Cambria" w:hAnsi="Cambria"/>
        </w:rPr>
      </w:pPr>
    </w:p>
    <w:p w:rsidR="004402CB" w:rsidP="004402CB" w:rsidRDefault="004402CB" w14:paraId="57F77B2A" w14:textId="5D71D3C5">
      <w:pPr>
        <w:jc w:val="both"/>
        <w:rPr>
          <w:rFonts w:ascii="Cambria" w:hAnsi="Cambria"/>
        </w:rPr>
      </w:pPr>
      <w:r w:rsidRPr="00A83986">
        <w:rPr>
          <w:rFonts w:ascii="Cambria" w:hAnsi="Cambria"/>
          <w:b/>
        </w:rPr>
        <w:t>Market Risk:</w:t>
      </w:r>
      <w:r w:rsidRPr="00A83986">
        <w:rPr>
          <w:rFonts w:ascii="Cambria" w:hAnsi="Cambria"/>
        </w:rPr>
        <w:t xml:space="preserve"> The value of your portfolio may decrease if the value of an individual company or multiple companies in the portfolio decreases or if our belief about a company’s intrinsic worth is incorrect. Further, regardless of how well individual companies perform, the value of your portfolio could also decrease if there are deteriorating economic or market conditions. It is important to understand that the value of your investment may fall, sometimes sharply, in response to changes in the market, and you could lose money. Investment risks include price risk as may be observed by a drop in a security’s price due to company specific events (</w:t>
      </w:r>
      <w:proofErr w:type="gramStart"/>
      <w:r w:rsidRPr="00A83986">
        <w:rPr>
          <w:rFonts w:ascii="Cambria" w:hAnsi="Cambria"/>
        </w:rPr>
        <w:t>e.g.</w:t>
      </w:r>
      <w:proofErr w:type="gramEnd"/>
      <w:r w:rsidRPr="00A83986">
        <w:rPr>
          <w:rFonts w:ascii="Cambria" w:hAnsi="Cambria"/>
        </w:rPr>
        <w:t xml:space="preserve"> earnings disappointment or downgrade in the rating of a bond) or general market risk (e.g. such as a “bear” market when stock values fall in general). For fixed-income securities, a period of rising interest rates could erode the value of a bond since bond values generally fall as bond yields go up. Past performance is not a guarantee of future returns.</w:t>
      </w:r>
    </w:p>
    <w:p w:rsidRPr="00A83986" w:rsidR="00246032" w:rsidP="004402CB" w:rsidRDefault="00246032" w14:paraId="48EFE170" w14:textId="77777777">
      <w:pPr>
        <w:jc w:val="both"/>
        <w:rPr>
          <w:rFonts w:ascii="Cambria" w:hAnsi="Cambria"/>
        </w:rPr>
      </w:pPr>
    </w:p>
    <w:p w:rsidR="004402CB" w:rsidP="004402CB" w:rsidRDefault="004402CB" w14:paraId="2BC49CE4" w14:textId="606965F0">
      <w:pPr>
        <w:jc w:val="both"/>
        <w:rPr>
          <w:rFonts w:ascii="Cambria" w:hAnsi="Cambria"/>
        </w:rPr>
      </w:pPr>
      <w:r w:rsidRPr="00A83986">
        <w:rPr>
          <w:rFonts w:ascii="Cambria" w:hAnsi="Cambria"/>
          <w:b/>
        </w:rPr>
        <w:t>Market Timing Risk:</w:t>
      </w:r>
      <w:r w:rsidRPr="00A83986">
        <w:rPr>
          <w:rFonts w:ascii="Cambria" w:hAnsi="Cambria"/>
        </w:rPr>
        <w:t xml:space="preserve"> Market timing can include high risk of loss since it looks at an aggregate market versus a specific security. Timing risk explains the potential for missing out on beneficial movements in price due to an error in timing. This could cause harm to the value of an investor's portfolio because of purchasing too high or selling too low.</w:t>
      </w:r>
    </w:p>
    <w:p w:rsidR="004402CB" w:rsidP="004402CB" w:rsidRDefault="004402CB" w14:paraId="4678901D" w14:textId="13813AD6">
      <w:pPr>
        <w:jc w:val="both"/>
        <w:rPr>
          <w:rFonts w:ascii="Cambria" w:hAnsi="Cambria"/>
        </w:rPr>
      </w:pPr>
    </w:p>
    <w:p w:rsidRPr="00A83986" w:rsidR="004402CB" w:rsidP="004402CB" w:rsidRDefault="004402CB" w14:paraId="4522E2DB" w14:textId="77777777">
      <w:pPr>
        <w:jc w:val="both"/>
        <w:rPr>
          <w:rFonts w:ascii="Cambria" w:hAnsi="Cambria"/>
        </w:rPr>
      </w:pPr>
      <w:r w:rsidRPr="00A83986">
        <w:rPr>
          <w:rFonts w:ascii="Cambria" w:hAnsi="Cambria"/>
          <w:b/>
        </w:rPr>
        <w:t>Options Risk</w:t>
      </w:r>
      <w:r w:rsidRPr="00A83986">
        <w:rPr>
          <w:rFonts w:ascii="Cambria" w:hAnsi="Cambria"/>
        </w:rPr>
        <w:t>: Options on securities may be subject to greater fluctuations in value than an investment in the underlying securities.  Purchasing and writing put and call options are highly specialized activities and entail greater than ordinary investment risks.</w:t>
      </w:r>
    </w:p>
    <w:p w:rsidRPr="00A83986" w:rsidR="004402CB" w:rsidP="004402CB" w:rsidRDefault="004402CB" w14:paraId="6665CA1E" w14:textId="77777777">
      <w:pPr>
        <w:jc w:val="both"/>
        <w:rPr>
          <w:rFonts w:ascii="Cambria" w:hAnsi="Cambria"/>
        </w:rPr>
      </w:pPr>
    </w:p>
    <w:p w:rsidR="004402CB" w:rsidP="004402CB" w:rsidRDefault="004402CB" w14:paraId="5FBAD485" w14:textId="54CC1B23">
      <w:pPr>
        <w:jc w:val="both"/>
        <w:rPr>
          <w:rFonts w:ascii="Cambria" w:hAnsi="Cambria"/>
        </w:rPr>
      </w:pPr>
      <w:r w:rsidRPr="00A83986">
        <w:rPr>
          <w:rFonts w:ascii="Cambria" w:hAnsi="Cambria"/>
          <w:b/>
        </w:rPr>
        <w:t xml:space="preserve">Past Performance: </w:t>
      </w:r>
      <w:r w:rsidRPr="00A83986">
        <w:rPr>
          <w:rFonts w:ascii="Cambria" w:hAnsi="Cambria"/>
        </w:rPr>
        <w:t xml:space="preserve">Charting and technical analysis are often used interchangeably. Technical analysis generally attempts to forecast an investment’s future potential by analyzing its past performance and other related statistics. </w:t>
      </w:r>
      <w:proofErr w:type="gramStart"/>
      <w:r w:rsidRPr="00A83986">
        <w:rPr>
          <w:rFonts w:ascii="Cambria" w:hAnsi="Cambria"/>
        </w:rPr>
        <w:t>In particular, technical</w:t>
      </w:r>
      <w:proofErr w:type="gramEnd"/>
      <w:r w:rsidRPr="00A83986">
        <w:rPr>
          <w:rFonts w:ascii="Cambria" w:hAnsi="Cambria"/>
        </w:rPr>
        <w:t xml:space="preserve"> analysis often times involves an evaluation of historical pricing and volume of a particular security for the purpose of forecasting where future price and volume figures may go. As with any investment analysis method, technical </w:t>
      </w:r>
      <w:r w:rsidRPr="00A83986">
        <w:rPr>
          <w:rFonts w:ascii="Cambria" w:hAnsi="Cambria"/>
        </w:rPr>
        <w:lastRenderedPageBreak/>
        <w:t>analysis runs the risk of not knowing the future and thus, investors should realize that even the most diligent and thorough technical analysis cannot predict or guarantee the future performance of any particular investment instrument or issuer thereof.</w:t>
      </w:r>
    </w:p>
    <w:p w:rsidR="004402CB" w:rsidP="004402CB" w:rsidRDefault="004402CB" w14:paraId="3539F20B" w14:textId="7ADAC072">
      <w:pPr>
        <w:jc w:val="both"/>
        <w:rPr>
          <w:rFonts w:ascii="Cambria" w:hAnsi="Cambria"/>
        </w:rPr>
      </w:pPr>
    </w:p>
    <w:p w:rsidR="004402CB" w:rsidP="004402CB" w:rsidRDefault="004402CB" w14:paraId="3515BF24" w14:textId="43DC99F4">
      <w:pPr>
        <w:jc w:val="both"/>
        <w:rPr>
          <w:rFonts w:ascii="Cambria" w:hAnsi="Cambria" w:cs="Arial"/>
        </w:rPr>
      </w:pPr>
      <w:r w:rsidRPr="00A83986">
        <w:rPr>
          <w:rFonts w:ascii="Cambria" w:hAnsi="Cambria"/>
          <w:b/>
        </w:rPr>
        <w:t>Strategy Risk:</w:t>
      </w:r>
      <w:r w:rsidRPr="00A83986">
        <w:rPr>
          <w:rFonts w:ascii="Cambria" w:hAnsi="Cambria"/>
        </w:rPr>
        <w:t xml:space="preserve"> There is no guarantee that the investment strategies discussed herein will work under all market conditions and each investor should evaluate his/her ability to maintain any investment he/she is considering </w:t>
      </w:r>
      <w:proofErr w:type="gramStart"/>
      <w:r w:rsidRPr="00A83986">
        <w:rPr>
          <w:rFonts w:ascii="Cambria" w:hAnsi="Cambria"/>
        </w:rPr>
        <w:t>in light of</w:t>
      </w:r>
      <w:proofErr w:type="gramEnd"/>
      <w:r w:rsidRPr="00A83986">
        <w:rPr>
          <w:rFonts w:ascii="Cambria" w:hAnsi="Cambria"/>
        </w:rPr>
        <w:t xml:space="preserve"> his/her own investment time horizon. Investments are subject to risk, including possible loss of principal.</w:t>
      </w:r>
    </w:p>
    <w:p w:rsidRPr="00E87509" w:rsidR="004402CB" w:rsidP="00B37D17" w:rsidRDefault="004402CB" w14:paraId="2FB80999" w14:textId="77777777">
      <w:pPr>
        <w:pStyle w:val="NoSpacing"/>
        <w:ind w:left="360"/>
        <w:jc w:val="both"/>
        <w:rPr>
          <w:rFonts w:ascii="Cambria" w:hAnsi="Cambria" w:cs="Arial"/>
        </w:rPr>
      </w:pPr>
    </w:p>
    <w:p w:rsidRPr="008A75CC" w:rsidR="008A75CC" w:rsidP="008A75CC" w:rsidRDefault="008A75CC" w14:paraId="431B76DB" w14:textId="77777777">
      <w:pPr>
        <w:pStyle w:val="NoSpacing"/>
        <w:pBdr>
          <w:bottom w:val="single" w:color="auto" w:sz="4" w:space="1"/>
        </w:pBdr>
        <w:rPr>
          <w:rFonts w:asciiTheme="majorHAnsi" w:hAnsiTheme="majorHAnsi"/>
          <w:b/>
        </w:rPr>
      </w:pPr>
      <w:r>
        <w:rPr>
          <w:rFonts w:asciiTheme="majorHAnsi" w:hAnsiTheme="majorHAnsi"/>
          <w:b/>
        </w:rPr>
        <w:t xml:space="preserve">Description of Material, Significant or Unusual Risks </w:t>
      </w:r>
    </w:p>
    <w:p w:rsidR="008A75CC" w:rsidP="008A75CC" w:rsidRDefault="008A75CC" w14:paraId="0FAB7B50" w14:textId="77777777">
      <w:pPr>
        <w:pStyle w:val="NoSpacing"/>
        <w:rPr>
          <w:rFonts w:asciiTheme="majorHAnsi" w:hAnsiTheme="majorHAnsi"/>
        </w:rPr>
      </w:pPr>
    </w:p>
    <w:p w:rsidR="006847BE" w:rsidP="007D5DDB" w:rsidRDefault="006847BE" w14:paraId="40A6780A" w14:textId="7297F47F">
      <w:pPr>
        <w:pStyle w:val="NoSpacing"/>
        <w:jc w:val="both"/>
        <w:rPr>
          <w:rFonts w:ascii="Cambria" w:hAnsi="Cambria" w:cs="Arial"/>
          <w:bCs/>
        </w:rPr>
      </w:pPr>
      <w:r>
        <w:rPr>
          <w:rFonts w:ascii="Cambria" w:hAnsi="Cambria" w:cs="Arial"/>
          <w:bCs/>
        </w:rPr>
        <w:t>Our firm g</w:t>
      </w:r>
      <w:r w:rsidRPr="00E87509">
        <w:rPr>
          <w:rFonts w:ascii="Cambria" w:hAnsi="Cambria" w:cs="Arial"/>
          <w:bCs/>
        </w:rPr>
        <w:t>enerally invest</w:t>
      </w:r>
      <w:r>
        <w:rPr>
          <w:rFonts w:ascii="Cambria" w:hAnsi="Cambria" w:cs="Arial"/>
          <w:bCs/>
        </w:rPr>
        <w:t>s</w:t>
      </w:r>
      <w:r w:rsidRPr="00E87509">
        <w:rPr>
          <w:rFonts w:ascii="Cambria" w:hAnsi="Cambria" w:cs="Arial"/>
          <w:bCs/>
        </w:rPr>
        <w:t xml:space="preserve"> client cash balances in money market funds, FDIC Insured Certificates of Deposit, high-grade commercial paper and/or government backed debt instruments. Ultimately, </w:t>
      </w:r>
      <w:r>
        <w:rPr>
          <w:rFonts w:ascii="Cambria" w:hAnsi="Cambria" w:cs="Arial"/>
          <w:bCs/>
        </w:rPr>
        <w:t>our firm tries</w:t>
      </w:r>
      <w:r w:rsidRPr="00E87509">
        <w:rPr>
          <w:rFonts w:ascii="Cambria" w:hAnsi="Cambria" w:cs="Arial"/>
          <w:bCs/>
        </w:rPr>
        <w:t xml:space="preserve"> </w:t>
      </w:r>
      <w:r>
        <w:rPr>
          <w:rFonts w:ascii="Cambria" w:hAnsi="Cambria" w:cs="Arial"/>
          <w:bCs/>
        </w:rPr>
        <w:t>t</w:t>
      </w:r>
      <w:r w:rsidRPr="00E87509">
        <w:rPr>
          <w:rFonts w:ascii="Cambria" w:hAnsi="Cambria" w:cs="Arial"/>
          <w:bCs/>
        </w:rPr>
        <w:t xml:space="preserve">o achieve the highest return on client cash </w:t>
      </w:r>
      <w:r w:rsidRPr="004402CB">
        <w:rPr>
          <w:rFonts w:ascii="Cambria" w:hAnsi="Cambria" w:cs="Arial"/>
          <w:bCs/>
        </w:rPr>
        <w:t xml:space="preserve">balances through relatively low-risk conservative investments. In most cases, at least a partial cash balance will be maintained in a money market account so that our firm may debit advisory fees for our services related to our </w:t>
      </w:r>
      <w:r w:rsidR="004402CB">
        <w:rPr>
          <w:rFonts w:ascii="Cambria" w:hAnsi="Cambria" w:cs="Arial"/>
          <w:bCs/>
        </w:rPr>
        <w:t xml:space="preserve">Asset Management </w:t>
      </w:r>
      <w:r>
        <w:rPr>
          <w:rFonts w:ascii="Cambria" w:hAnsi="Cambria" w:cs="Arial"/>
          <w:bCs/>
        </w:rPr>
        <w:t>services</w:t>
      </w:r>
      <w:r w:rsidRPr="00E87509">
        <w:rPr>
          <w:rFonts w:ascii="Cambria" w:hAnsi="Cambria" w:cs="Arial"/>
          <w:bCs/>
        </w:rPr>
        <w:t>, as applicable.</w:t>
      </w:r>
    </w:p>
    <w:p w:rsidR="004402CB" w:rsidP="007D5DDB" w:rsidRDefault="004402CB" w14:paraId="4ED28FE2" w14:textId="3A23F93A">
      <w:pPr>
        <w:pStyle w:val="NoSpacing"/>
        <w:jc w:val="both"/>
        <w:rPr>
          <w:rFonts w:ascii="Cambria" w:hAnsi="Cambria" w:cs="Arial"/>
          <w:bCs/>
        </w:rPr>
      </w:pPr>
    </w:p>
    <w:p w:rsidRPr="00ED5628" w:rsidR="004402CB" w:rsidP="004402CB" w:rsidRDefault="004402CB" w14:paraId="593EDE40" w14:textId="77777777">
      <w:pPr>
        <w:jc w:val="both"/>
        <w:rPr>
          <w:rFonts w:ascii="Cambria" w:hAnsi="Cambria"/>
        </w:rPr>
      </w:pPr>
      <w:r w:rsidRPr="003B417D">
        <w:rPr>
          <w:rFonts w:ascii="Cambria" w:hAnsi="Cambria"/>
          <w:b/>
        </w:rPr>
        <w:t xml:space="preserve">Institutional Intelligent </w:t>
      </w:r>
      <w:proofErr w:type="spellStart"/>
      <w:r w:rsidRPr="003B417D">
        <w:rPr>
          <w:rFonts w:ascii="Cambria" w:hAnsi="Cambria"/>
          <w:b/>
        </w:rPr>
        <w:t>Portfolios</w:t>
      </w:r>
      <w:r w:rsidRPr="003B417D">
        <w:rPr>
          <w:rFonts w:ascii="Cambria" w:hAnsi="Cambria"/>
          <w:b/>
          <w:vertAlign w:val="superscript"/>
        </w:rPr>
        <w:t>TM</w:t>
      </w:r>
      <w:proofErr w:type="spellEnd"/>
      <w:r w:rsidRPr="003B417D">
        <w:rPr>
          <w:rFonts w:ascii="Cambria" w:hAnsi="Cambria"/>
          <w:b/>
        </w:rPr>
        <w:t>:</w:t>
      </w:r>
      <w:r>
        <w:rPr>
          <w:rFonts w:ascii="Cambria" w:hAnsi="Cambria"/>
        </w:rPr>
        <w:t xml:space="preserve"> </w:t>
      </w:r>
      <w:r w:rsidRPr="00ED5628">
        <w:rPr>
          <w:rFonts w:ascii="Cambria" w:hAnsi="Cambria"/>
        </w:rPr>
        <w:t>The Program Disclosure Brochure includes a discussion of various risks associated with the Program, including the</w:t>
      </w:r>
      <w:r>
        <w:rPr>
          <w:rFonts w:ascii="Cambria" w:hAnsi="Cambria"/>
        </w:rPr>
        <w:t xml:space="preserve"> </w:t>
      </w:r>
      <w:r w:rsidRPr="00ED5628">
        <w:rPr>
          <w:rFonts w:ascii="Cambria" w:hAnsi="Cambria"/>
        </w:rPr>
        <w:t>r</w:t>
      </w:r>
      <w:r>
        <w:rPr>
          <w:rFonts w:ascii="Cambria" w:hAnsi="Cambria"/>
        </w:rPr>
        <w:t>isks of investing in ETFs, as w</w:t>
      </w:r>
      <w:r w:rsidRPr="00ED5628">
        <w:rPr>
          <w:rFonts w:ascii="Cambria" w:hAnsi="Cambria"/>
        </w:rPr>
        <w:t>ell as risks related to the underlying securities in which ETFs invest. In addition, the</w:t>
      </w:r>
      <w:r>
        <w:rPr>
          <w:rFonts w:ascii="Cambria" w:hAnsi="Cambria"/>
        </w:rPr>
        <w:t xml:space="preserve"> </w:t>
      </w:r>
      <w:r w:rsidRPr="00ED5628">
        <w:rPr>
          <w:rFonts w:ascii="Cambria" w:hAnsi="Cambria"/>
        </w:rPr>
        <w:t>Program Disclosure Brochure also discusses market/systemic risks, asset allocation/strategy/diversification risks,</w:t>
      </w:r>
    </w:p>
    <w:p w:rsidR="004402CB" w:rsidP="004402CB" w:rsidRDefault="004402CB" w14:paraId="111D0B87" w14:textId="5BE117C3">
      <w:pPr>
        <w:pStyle w:val="NoSpacing"/>
        <w:jc w:val="both"/>
        <w:rPr>
          <w:rFonts w:ascii="Cambria" w:hAnsi="Cambria" w:cs="Arial"/>
          <w:bCs/>
        </w:rPr>
      </w:pPr>
      <w:r w:rsidRPr="00ED5628">
        <w:rPr>
          <w:rFonts w:ascii="Cambria" w:hAnsi="Cambria"/>
        </w:rPr>
        <w:t>investment strategy risks, trading/liquidity risks, and large investment risks.</w:t>
      </w:r>
    </w:p>
    <w:p w:rsidRPr="00E87509" w:rsidR="006847BE" w:rsidP="006847BE" w:rsidRDefault="006847BE" w14:paraId="01495B9B" w14:textId="77777777">
      <w:pPr>
        <w:pStyle w:val="NoSpacing"/>
        <w:ind w:left="360"/>
        <w:jc w:val="both"/>
        <w:rPr>
          <w:rFonts w:ascii="Cambria" w:hAnsi="Cambria" w:cs="Arial"/>
          <w:bCs/>
        </w:rPr>
      </w:pPr>
    </w:p>
    <w:p w:rsidRPr="00594E59" w:rsidR="006847BE" w:rsidP="0002356D" w:rsidRDefault="006847BE" w14:paraId="764BEE05"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83" w:id="16"/>
    </w:p>
    <w:p w:rsidR="006847BE" w:rsidP="0002356D" w:rsidRDefault="006847BE" w14:paraId="59F7362B"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2" w:id="17"/>
      <w:r w:rsidRPr="00DF224D">
        <w:rPr>
          <w:rFonts w:ascii="Cambria" w:hAnsi="Cambria" w:cs="Arial"/>
          <w:b/>
          <w:sz w:val="24"/>
          <w:szCs w:val="24"/>
        </w:rPr>
        <w:t>Item 9: Disciplinary Information</w:t>
      </w:r>
      <w:bookmarkEnd w:id="16"/>
      <w:bookmarkEnd w:id="17"/>
    </w:p>
    <w:p w:rsidRPr="00594E59" w:rsidR="006847BE" w:rsidP="0002356D" w:rsidRDefault="006847BE" w14:paraId="7BE5FAD7"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6847BE" w:rsidP="006847BE" w:rsidRDefault="006847BE" w14:paraId="40D50789" w14:textId="77777777">
      <w:pPr>
        <w:pStyle w:val="CM118"/>
        <w:spacing w:line="231" w:lineRule="atLeast"/>
        <w:jc w:val="both"/>
        <w:rPr>
          <w:rFonts w:ascii="Cambria" w:hAnsi="Cambria" w:cs="Arial"/>
          <w:color w:val="000000"/>
          <w:sz w:val="22"/>
          <w:szCs w:val="22"/>
          <w:u w:val="single"/>
        </w:rPr>
      </w:pPr>
    </w:p>
    <w:p w:rsidR="00DD524E" w:rsidP="00DD524E" w:rsidRDefault="00DD524E" w14:paraId="3FB6720A" w14:textId="05999803">
      <w:pPr>
        <w:pStyle w:val="NoSpacing"/>
        <w:jc w:val="both"/>
        <w:rPr>
          <w:rFonts w:ascii="Cambria" w:hAnsi="Cambria" w:cs="Arial"/>
          <w:color w:val="000000"/>
        </w:rPr>
      </w:pPr>
      <w:r>
        <w:rPr>
          <w:rFonts w:ascii="Cambria" w:hAnsi="Cambria" w:cs="Arial"/>
          <w:color w:val="000000"/>
        </w:rPr>
        <w:t>T</w:t>
      </w:r>
      <w:r w:rsidRPr="00062771">
        <w:rPr>
          <w:rFonts w:ascii="Cambria" w:hAnsi="Cambria" w:cs="Arial"/>
          <w:color w:val="000000"/>
        </w:rPr>
        <w:t>here are</w:t>
      </w:r>
      <w:r>
        <w:rPr>
          <w:rFonts w:ascii="Cambria" w:hAnsi="Cambria" w:cs="Arial"/>
          <w:color w:val="000000"/>
        </w:rPr>
        <w:t xml:space="preserve"> no</w:t>
      </w:r>
      <w:r w:rsidRPr="00062771">
        <w:rPr>
          <w:rFonts w:ascii="Cambria" w:hAnsi="Cambria" w:cs="Arial"/>
          <w:color w:val="000000"/>
        </w:rPr>
        <w:t xml:space="preserve"> legal or disciplina</w:t>
      </w:r>
      <w:r>
        <w:rPr>
          <w:rFonts w:ascii="Cambria" w:hAnsi="Cambria" w:cs="Arial"/>
          <w:color w:val="000000"/>
        </w:rPr>
        <w:t>ry events that are material to</w:t>
      </w:r>
      <w:r w:rsidRPr="00062771">
        <w:rPr>
          <w:rFonts w:ascii="Cambria" w:hAnsi="Cambria" w:cs="Arial"/>
          <w:color w:val="000000"/>
        </w:rPr>
        <w:t xml:space="preserve"> </w:t>
      </w:r>
      <w:r>
        <w:rPr>
          <w:rFonts w:ascii="Cambria" w:hAnsi="Cambria" w:cs="Arial"/>
          <w:iCs/>
          <w:color w:val="000000"/>
        </w:rPr>
        <w:t>the</w:t>
      </w:r>
      <w:r w:rsidRPr="00062771">
        <w:rPr>
          <w:rFonts w:ascii="Cambria" w:hAnsi="Cambria" w:cs="Arial"/>
          <w:iCs/>
          <w:color w:val="000000"/>
        </w:rPr>
        <w:t xml:space="preserve"> </w:t>
      </w:r>
      <w:r w:rsidRPr="00062771">
        <w:rPr>
          <w:rFonts w:ascii="Cambria" w:hAnsi="Cambria" w:cs="Arial"/>
          <w:color w:val="000000"/>
        </w:rPr>
        <w:t>evaluation of our advisory business or the integrity of our management.</w:t>
      </w:r>
    </w:p>
    <w:p w:rsidRPr="00E87509" w:rsidR="006847BE" w:rsidP="006847BE" w:rsidRDefault="006847BE" w14:paraId="05272E68" w14:textId="77777777">
      <w:pPr>
        <w:pStyle w:val="Heading2"/>
        <w:numPr>
          <w:ilvl w:val="0"/>
          <w:numId w:val="0"/>
        </w:numPr>
        <w:spacing w:after="0"/>
        <w:rPr>
          <w:rFonts w:ascii="Cambria" w:hAnsi="Cambria" w:cs="Arial"/>
          <w:bCs/>
          <w:caps w:val="0"/>
          <w:color w:val="000000"/>
          <w:sz w:val="22"/>
          <w:szCs w:val="22"/>
          <w:u w:val="single"/>
        </w:rPr>
      </w:pPr>
      <w:bookmarkStart w:name="_Toc358989484" w:id="18"/>
    </w:p>
    <w:p w:rsidRPr="00594E59" w:rsidR="006847BE" w:rsidP="0002356D" w:rsidRDefault="006847BE" w14:paraId="4B2C0061"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85" w:id="19"/>
    </w:p>
    <w:p w:rsidRPr="00363B87" w:rsidR="006847BE" w:rsidP="0002356D" w:rsidRDefault="006847BE" w14:paraId="721776B5"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3" w:id="20"/>
      <w:r w:rsidRPr="00363B87">
        <w:rPr>
          <w:rFonts w:ascii="Cambria" w:hAnsi="Cambria" w:cs="Arial"/>
          <w:b/>
          <w:sz w:val="24"/>
          <w:szCs w:val="24"/>
        </w:rPr>
        <w:t>Item 10: Other Financial Industry Activities &amp; Affiliations</w:t>
      </w:r>
      <w:bookmarkEnd w:id="19"/>
      <w:bookmarkEnd w:id="20"/>
    </w:p>
    <w:p w:rsidRPr="00594E59" w:rsidR="006847BE" w:rsidP="0002356D" w:rsidRDefault="006847BE" w14:paraId="0931E60F"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BD3085" w:rsidR="006847BE" w:rsidP="006847BE" w:rsidRDefault="006847BE" w14:paraId="5A537AEE" w14:textId="77777777">
      <w:pPr>
        <w:autoSpaceDE w:val="0"/>
        <w:autoSpaceDN w:val="0"/>
        <w:jc w:val="both"/>
        <w:rPr>
          <w:rFonts w:ascii="Cambria" w:hAnsi="Cambria" w:cs="Arial"/>
          <w:b/>
          <w:bCs/>
          <w:color w:val="000000"/>
          <w:sz w:val="16"/>
          <w:szCs w:val="16"/>
        </w:rPr>
      </w:pPr>
    </w:p>
    <w:p w:rsidRPr="007D2F24" w:rsidR="006847BE" w:rsidP="006847BE" w:rsidRDefault="006847BE" w14:paraId="4F9FE01D" w14:textId="77777777">
      <w:pPr>
        <w:autoSpaceDE w:val="0"/>
        <w:autoSpaceDN w:val="0"/>
        <w:jc w:val="both"/>
        <w:rPr>
          <w:rFonts w:ascii="Cambria" w:hAnsi="Cambria" w:cs="Arial"/>
          <w:bCs/>
          <w:color w:val="000000"/>
        </w:rPr>
      </w:pPr>
      <w:r>
        <w:rPr>
          <w:rFonts w:ascii="Cambria" w:hAnsi="Cambria" w:cs="Arial"/>
          <w:bCs/>
          <w:color w:val="000000"/>
        </w:rPr>
        <w:t xml:space="preserve">Our firm has </w:t>
      </w:r>
      <w:r w:rsidRPr="007D2F24">
        <w:rPr>
          <w:rFonts w:ascii="Cambria" w:hAnsi="Cambria" w:cs="Arial"/>
          <w:bCs/>
          <w:color w:val="000000"/>
        </w:rPr>
        <w:t xml:space="preserve">no other financial industry activities and affiliations to disclose. </w:t>
      </w:r>
    </w:p>
    <w:bookmarkEnd w:id="18"/>
    <w:p w:rsidRPr="00E87509" w:rsidR="006847BE" w:rsidP="006847BE" w:rsidRDefault="006847BE" w14:paraId="672A0FFC" w14:textId="77777777">
      <w:pPr>
        <w:autoSpaceDE w:val="0"/>
        <w:autoSpaceDN w:val="0"/>
        <w:jc w:val="center"/>
        <w:rPr>
          <w:rFonts w:ascii="Cambria" w:hAnsi="Cambria" w:cs="Arial"/>
          <w:b/>
          <w:bCs/>
          <w:color w:val="000000"/>
        </w:rPr>
      </w:pPr>
    </w:p>
    <w:p w:rsidRPr="00594E59" w:rsidR="006847BE" w:rsidP="0002356D" w:rsidRDefault="006847BE" w14:paraId="53B412B5"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86" w:id="21"/>
    </w:p>
    <w:p w:rsidR="006847BE" w:rsidP="0002356D" w:rsidRDefault="006847BE" w14:paraId="3E3E93A1"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4" w:id="22"/>
      <w:r w:rsidRPr="00DF224D">
        <w:rPr>
          <w:rFonts w:ascii="Cambria" w:hAnsi="Cambria" w:cs="Arial"/>
          <w:b/>
          <w:sz w:val="24"/>
          <w:szCs w:val="24"/>
        </w:rPr>
        <w:t>Item 11: Code of Ethics, Participation or Interest in</w:t>
      </w:r>
      <w:bookmarkEnd w:id="22"/>
      <w:r w:rsidRPr="00DF224D">
        <w:rPr>
          <w:rFonts w:ascii="Cambria" w:hAnsi="Cambria" w:cs="Arial"/>
          <w:b/>
          <w:sz w:val="24"/>
          <w:szCs w:val="24"/>
        </w:rPr>
        <w:t xml:space="preserve"> </w:t>
      </w:r>
    </w:p>
    <w:p w:rsidR="006847BE" w:rsidP="00DB2840" w:rsidRDefault="006847BE" w14:paraId="01B25438"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rPr>
          <w:rFonts w:ascii="Cambria" w:hAnsi="Cambria" w:cs="Arial"/>
          <w:b/>
          <w:sz w:val="24"/>
          <w:szCs w:val="24"/>
        </w:rPr>
      </w:pPr>
      <w:bookmarkStart w:name="_Toc420062829" w:id="23"/>
      <w:r w:rsidRPr="00DF224D">
        <w:rPr>
          <w:rFonts w:ascii="Cambria" w:hAnsi="Cambria" w:cs="Arial"/>
          <w:b/>
          <w:sz w:val="24"/>
          <w:szCs w:val="24"/>
        </w:rPr>
        <w:t>Client Transactions &amp; Personal Trading</w:t>
      </w:r>
      <w:bookmarkEnd w:id="21"/>
      <w:bookmarkEnd w:id="23"/>
    </w:p>
    <w:p w:rsidRPr="00594E59" w:rsidR="006847BE" w:rsidP="0002356D" w:rsidRDefault="006847BE" w14:paraId="31559BD2"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6847BE" w:rsidP="006847BE" w:rsidRDefault="006847BE" w14:paraId="3C4798F7" w14:textId="77777777">
      <w:pPr>
        <w:pStyle w:val="NoSpacing"/>
        <w:ind w:left="1440" w:right="1440"/>
        <w:jc w:val="center"/>
        <w:outlineLvl w:val="0"/>
        <w:rPr>
          <w:rFonts w:ascii="Cambria" w:hAnsi="Cambria" w:cs="Arial"/>
          <w:b/>
          <w:u w:val="single"/>
        </w:rPr>
      </w:pPr>
    </w:p>
    <w:p w:rsidR="006847BE" w:rsidP="006847BE" w:rsidRDefault="006847BE" w14:paraId="0B3AD3B2" w14:textId="77777777">
      <w:pPr>
        <w:jc w:val="both"/>
        <w:rPr>
          <w:rFonts w:ascii="Cambria" w:hAnsi="Cambria"/>
          <w:spacing w:val="-3"/>
        </w:rPr>
      </w:pPr>
      <w:r w:rsidRPr="00036DAD">
        <w:rPr>
          <w:rFonts w:ascii="Cambria" w:hAnsi="Cambria"/>
          <w:spacing w:val="-3"/>
        </w:rPr>
        <w:t xml:space="preserve">As a fiduciary, it is an investment adviser’s responsibility to provide fair and full disclosure of all material facts and to </w:t>
      </w:r>
      <w:proofErr w:type="gramStart"/>
      <w:r w:rsidRPr="00036DAD">
        <w:rPr>
          <w:rFonts w:ascii="Cambria" w:hAnsi="Cambria"/>
          <w:spacing w:val="-3"/>
        </w:rPr>
        <w:t>act solely in the best interest of each of our clients at all times</w:t>
      </w:r>
      <w:proofErr w:type="gramEnd"/>
      <w:r w:rsidRPr="00036DAD">
        <w:rPr>
          <w:rFonts w:ascii="Cambria" w:hAnsi="Cambria"/>
          <w:spacing w:val="-3"/>
        </w:rPr>
        <w:t>.</w:t>
      </w:r>
      <w:r>
        <w:rPr>
          <w:rFonts w:ascii="Cambria" w:hAnsi="Cambria"/>
          <w:spacing w:val="-3"/>
        </w:rPr>
        <w:t xml:space="preserve"> Our fiduciary duty is the underlying principle for our firm’s Code of Ethics, which includes procedures for personal securities transaction and insider trading. Our firm requires all representatives to conduct business with the highest </w:t>
      </w:r>
      <w:r w:rsidRPr="00036DAD">
        <w:rPr>
          <w:rFonts w:ascii="Cambria" w:hAnsi="Cambria"/>
          <w:spacing w:val="-3"/>
        </w:rPr>
        <w:t xml:space="preserve">level of ethical standards and to </w:t>
      </w:r>
      <w:proofErr w:type="gramStart"/>
      <w:r w:rsidRPr="00036DAD">
        <w:rPr>
          <w:rFonts w:ascii="Cambria" w:hAnsi="Cambria"/>
          <w:spacing w:val="-3"/>
        </w:rPr>
        <w:t>comply with all federal and state securities laws at all times</w:t>
      </w:r>
      <w:proofErr w:type="gramEnd"/>
      <w:r w:rsidRPr="00036DAD">
        <w:rPr>
          <w:rFonts w:ascii="Cambria" w:hAnsi="Cambria"/>
          <w:spacing w:val="-3"/>
        </w:rPr>
        <w:t>.</w:t>
      </w:r>
      <w:r w:rsidRPr="008F755E">
        <w:rPr>
          <w:rFonts w:ascii="Cambria" w:hAnsi="Cambria"/>
          <w:spacing w:val="-3"/>
        </w:rPr>
        <w:t xml:space="preserve"> </w:t>
      </w:r>
      <w:r>
        <w:rPr>
          <w:rFonts w:ascii="Cambria" w:hAnsi="Cambria"/>
          <w:spacing w:val="-3"/>
        </w:rPr>
        <w:t xml:space="preserve">Upon employment with our firm, and at least annually thereafter, all representatives of our firm will acknowledge receipt, understanding and compliance with our firm’s Code of Ethics. </w:t>
      </w:r>
      <w:r w:rsidRPr="00036DAD">
        <w:rPr>
          <w:rFonts w:ascii="Cambria" w:hAnsi="Cambria"/>
          <w:spacing w:val="-3"/>
        </w:rPr>
        <w:t xml:space="preserve">Our firm and </w:t>
      </w:r>
      <w:r>
        <w:rPr>
          <w:rFonts w:ascii="Cambria" w:hAnsi="Cambria"/>
          <w:spacing w:val="-3"/>
        </w:rPr>
        <w:lastRenderedPageBreak/>
        <w:t>representatives</w:t>
      </w:r>
      <w:r w:rsidRPr="00036DAD">
        <w:rPr>
          <w:rFonts w:ascii="Cambria" w:hAnsi="Cambria"/>
          <w:spacing w:val="-3"/>
        </w:rPr>
        <w:t xml:space="preserve"> must conduct business in an honest, ethical, and fair manner and avoid all circumstances that might negatively affect or appear to affect our duty of complete loyalty to all clients. This disclosure is provided to give all clients a summary of our Code of Ethics. </w:t>
      </w:r>
      <w:r>
        <w:rPr>
          <w:rFonts w:ascii="Cambria" w:hAnsi="Cambria"/>
          <w:spacing w:val="-3"/>
        </w:rPr>
        <w:t>I</w:t>
      </w:r>
      <w:r w:rsidRPr="00036DAD">
        <w:rPr>
          <w:rFonts w:ascii="Cambria" w:hAnsi="Cambria"/>
          <w:spacing w:val="-3"/>
        </w:rPr>
        <w:t>f a client or a potential client wishes to review our Code of Ethics in its entirety, a copy will be provided promptly upon request.</w:t>
      </w:r>
    </w:p>
    <w:p w:rsidR="006847BE" w:rsidP="006847BE" w:rsidRDefault="006847BE" w14:paraId="6AD80351" w14:textId="77777777">
      <w:pPr>
        <w:jc w:val="both"/>
        <w:rPr>
          <w:rFonts w:ascii="Cambria" w:hAnsi="Cambria"/>
          <w:spacing w:val="-3"/>
        </w:rPr>
      </w:pPr>
    </w:p>
    <w:p w:rsidR="006847BE" w:rsidP="006847BE" w:rsidRDefault="006847BE" w14:paraId="7C042858" w14:textId="77777777">
      <w:pPr>
        <w:jc w:val="both"/>
        <w:rPr>
          <w:rFonts w:ascii="Cambria" w:hAnsi="Cambria"/>
          <w:spacing w:val="-3"/>
        </w:rPr>
      </w:pPr>
      <w:r>
        <w:rPr>
          <w:rFonts w:ascii="Cambria" w:hAnsi="Cambria"/>
          <w:spacing w:val="-3"/>
        </w:rPr>
        <w:t xml:space="preserve">Our firm </w:t>
      </w:r>
      <w:r w:rsidRPr="00036DAD">
        <w:rPr>
          <w:rFonts w:ascii="Cambria" w:hAnsi="Cambria"/>
          <w:spacing w:val="-3"/>
        </w:rPr>
        <w:t>recognize</w:t>
      </w:r>
      <w:r>
        <w:rPr>
          <w:rFonts w:ascii="Cambria" w:hAnsi="Cambria"/>
          <w:spacing w:val="-3"/>
        </w:rPr>
        <w:t>s</w:t>
      </w:r>
      <w:r w:rsidRPr="00036DAD">
        <w:rPr>
          <w:rFonts w:ascii="Cambria" w:hAnsi="Cambria"/>
          <w:spacing w:val="-3"/>
        </w:rPr>
        <w:t xml:space="preserve"> that the personal investment transactions of </w:t>
      </w:r>
      <w:r>
        <w:rPr>
          <w:rFonts w:ascii="Cambria" w:hAnsi="Cambria"/>
          <w:spacing w:val="-3"/>
        </w:rPr>
        <w:t xml:space="preserve">our representatives </w:t>
      </w:r>
      <w:proofErr w:type="gramStart"/>
      <w:r w:rsidRPr="00036DAD">
        <w:rPr>
          <w:rFonts w:ascii="Cambria" w:hAnsi="Cambria"/>
          <w:spacing w:val="-3"/>
        </w:rPr>
        <w:t>demand</w:t>
      </w:r>
      <w:r>
        <w:rPr>
          <w:rFonts w:ascii="Cambria" w:hAnsi="Cambria"/>
          <w:spacing w:val="-3"/>
        </w:rPr>
        <w:t>s</w:t>
      </w:r>
      <w:proofErr w:type="gramEnd"/>
      <w:r w:rsidRPr="00036DAD">
        <w:rPr>
          <w:rFonts w:ascii="Cambria" w:hAnsi="Cambria"/>
          <w:spacing w:val="-3"/>
        </w:rPr>
        <w:t xml:space="preserve"> the application of a Code of Ethics </w:t>
      </w:r>
      <w:r>
        <w:rPr>
          <w:rFonts w:ascii="Cambria" w:hAnsi="Cambria"/>
          <w:spacing w:val="-3"/>
        </w:rPr>
        <w:t xml:space="preserve">with </w:t>
      </w:r>
      <w:r w:rsidRPr="00036DAD">
        <w:rPr>
          <w:rFonts w:ascii="Cambria" w:hAnsi="Cambria"/>
          <w:spacing w:val="-3"/>
        </w:rPr>
        <w:t>high</w:t>
      </w:r>
      <w:r>
        <w:rPr>
          <w:rFonts w:ascii="Cambria" w:hAnsi="Cambria"/>
          <w:spacing w:val="-3"/>
        </w:rPr>
        <w:t xml:space="preserve"> standards</w:t>
      </w:r>
      <w:r w:rsidRPr="00036DAD">
        <w:rPr>
          <w:rFonts w:ascii="Cambria" w:hAnsi="Cambria"/>
          <w:spacing w:val="-3"/>
        </w:rPr>
        <w:t xml:space="preserve"> and require</w:t>
      </w:r>
      <w:r>
        <w:rPr>
          <w:rFonts w:ascii="Cambria" w:hAnsi="Cambria"/>
          <w:spacing w:val="-3"/>
        </w:rPr>
        <w:t>s</w:t>
      </w:r>
      <w:r w:rsidRPr="00036DAD">
        <w:rPr>
          <w:rFonts w:ascii="Cambria" w:hAnsi="Cambria"/>
          <w:spacing w:val="-3"/>
        </w:rPr>
        <w:t xml:space="preserve"> that all such transactions be carried out in a way that does not endanger the interest of any client. At the same time, </w:t>
      </w:r>
      <w:r>
        <w:rPr>
          <w:rFonts w:ascii="Cambria" w:hAnsi="Cambria"/>
          <w:spacing w:val="-3"/>
        </w:rPr>
        <w:t>our firm</w:t>
      </w:r>
      <w:r w:rsidRPr="00036DAD">
        <w:rPr>
          <w:rFonts w:ascii="Cambria" w:hAnsi="Cambria"/>
          <w:spacing w:val="-3"/>
        </w:rPr>
        <w:t xml:space="preserve"> </w:t>
      </w:r>
      <w:r>
        <w:rPr>
          <w:rFonts w:ascii="Cambria" w:hAnsi="Cambria"/>
          <w:spacing w:val="-3"/>
        </w:rPr>
        <w:t xml:space="preserve">also </w:t>
      </w:r>
      <w:r w:rsidRPr="00036DAD">
        <w:rPr>
          <w:rFonts w:ascii="Cambria" w:hAnsi="Cambria"/>
          <w:spacing w:val="-3"/>
        </w:rPr>
        <w:t>believe</w:t>
      </w:r>
      <w:r>
        <w:rPr>
          <w:rFonts w:ascii="Cambria" w:hAnsi="Cambria"/>
          <w:spacing w:val="-3"/>
        </w:rPr>
        <w:t>s</w:t>
      </w:r>
      <w:r w:rsidRPr="00036DAD">
        <w:rPr>
          <w:rFonts w:ascii="Cambria" w:hAnsi="Cambria"/>
          <w:spacing w:val="-3"/>
        </w:rPr>
        <w:t xml:space="preserve"> that if investment goals are similar for clients and for </w:t>
      </w:r>
      <w:r>
        <w:rPr>
          <w:rFonts w:ascii="Cambria" w:hAnsi="Cambria"/>
          <w:spacing w:val="-3"/>
        </w:rPr>
        <w:t>our representatives</w:t>
      </w:r>
      <w:r w:rsidRPr="00036DAD">
        <w:rPr>
          <w:rFonts w:ascii="Cambria" w:hAnsi="Cambria"/>
          <w:spacing w:val="-3"/>
        </w:rPr>
        <w:t>, it is logical</w:t>
      </w:r>
      <w:r>
        <w:rPr>
          <w:rFonts w:ascii="Cambria" w:hAnsi="Cambria"/>
          <w:spacing w:val="-3"/>
        </w:rPr>
        <w:t>,</w:t>
      </w:r>
      <w:r w:rsidRPr="00036DAD">
        <w:rPr>
          <w:rFonts w:ascii="Cambria" w:hAnsi="Cambria"/>
          <w:spacing w:val="-3"/>
        </w:rPr>
        <w:t xml:space="preserve"> and even desirable</w:t>
      </w:r>
      <w:r>
        <w:rPr>
          <w:rFonts w:ascii="Cambria" w:hAnsi="Cambria"/>
          <w:spacing w:val="-3"/>
        </w:rPr>
        <w:t>,</w:t>
      </w:r>
      <w:r w:rsidRPr="00036DAD">
        <w:rPr>
          <w:rFonts w:ascii="Cambria" w:hAnsi="Cambria"/>
          <w:spacing w:val="-3"/>
        </w:rPr>
        <w:t xml:space="preserve"> that there be common ownership of some securities.</w:t>
      </w:r>
    </w:p>
    <w:p w:rsidRPr="00036DAD" w:rsidR="006847BE" w:rsidP="006847BE" w:rsidRDefault="006847BE" w14:paraId="468CA3CA" w14:textId="77777777">
      <w:pPr>
        <w:jc w:val="both"/>
        <w:rPr>
          <w:rFonts w:ascii="Cambria" w:hAnsi="Cambria"/>
          <w:spacing w:val="-3"/>
        </w:rPr>
      </w:pPr>
    </w:p>
    <w:p w:rsidR="006847BE" w:rsidP="006847BE" w:rsidRDefault="006847BE" w14:paraId="1C7464E9" w14:textId="443A6A2C">
      <w:pPr>
        <w:jc w:val="both"/>
        <w:rPr>
          <w:rFonts w:ascii="Cambria" w:hAnsi="Cambria"/>
          <w:spacing w:val="-3"/>
        </w:rPr>
      </w:pPr>
      <w:proofErr w:type="gramStart"/>
      <w:r>
        <w:rPr>
          <w:rFonts w:ascii="Cambria" w:hAnsi="Cambria"/>
          <w:spacing w:val="-3"/>
        </w:rPr>
        <w:t>I</w:t>
      </w:r>
      <w:r w:rsidRPr="00036DAD">
        <w:rPr>
          <w:rFonts w:ascii="Cambria" w:hAnsi="Cambria"/>
          <w:spacing w:val="-3"/>
        </w:rPr>
        <w:t>n order to</w:t>
      </w:r>
      <w:proofErr w:type="gramEnd"/>
      <w:r w:rsidRPr="00036DAD">
        <w:rPr>
          <w:rFonts w:ascii="Cambria" w:hAnsi="Cambria"/>
          <w:spacing w:val="-3"/>
        </w:rPr>
        <w:t xml:space="preserve"> prevent conflicts of interest, </w:t>
      </w:r>
      <w:r>
        <w:rPr>
          <w:rFonts w:ascii="Cambria" w:hAnsi="Cambria"/>
          <w:spacing w:val="-3"/>
        </w:rPr>
        <w:t xml:space="preserve">our firm has established </w:t>
      </w:r>
      <w:r w:rsidRPr="00036DAD">
        <w:rPr>
          <w:rFonts w:ascii="Cambria" w:hAnsi="Cambria"/>
          <w:spacing w:val="-3"/>
        </w:rPr>
        <w:t xml:space="preserve">procedures </w:t>
      </w:r>
      <w:r>
        <w:rPr>
          <w:rFonts w:ascii="Cambria" w:hAnsi="Cambria"/>
          <w:spacing w:val="-3"/>
        </w:rPr>
        <w:t>for</w:t>
      </w:r>
      <w:r w:rsidRPr="00036DAD">
        <w:rPr>
          <w:rFonts w:ascii="Cambria" w:hAnsi="Cambria"/>
          <w:spacing w:val="-3"/>
        </w:rPr>
        <w:t xml:space="preserve"> transactions effected by our </w:t>
      </w:r>
      <w:r>
        <w:rPr>
          <w:rFonts w:ascii="Cambria" w:hAnsi="Cambria"/>
          <w:spacing w:val="-3"/>
        </w:rPr>
        <w:t>representatives</w:t>
      </w:r>
      <w:r w:rsidRPr="00036DAD">
        <w:rPr>
          <w:rFonts w:ascii="Cambria" w:hAnsi="Cambria"/>
          <w:spacing w:val="-3"/>
        </w:rPr>
        <w:t xml:space="preserve"> for their personal accounts</w:t>
      </w:r>
      <w:r w:rsidRPr="00036DAD">
        <w:rPr>
          <w:rStyle w:val="FootnoteReference"/>
          <w:rFonts w:ascii="Cambria" w:hAnsi="Cambria"/>
          <w:spacing w:val="-3"/>
        </w:rPr>
        <w:footnoteReference w:id="1"/>
      </w:r>
      <w:r w:rsidRPr="00036DAD">
        <w:rPr>
          <w:rFonts w:ascii="Cambria" w:hAnsi="Cambria"/>
          <w:spacing w:val="-3"/>
        </w:rPr>
        <w:t>.</w:t>
      </w:r>
      <w:r w:rsidR="002571E5">
        <w:rPr>
          <w:rFonts w:ascii="Cambria" w:hAnsi="Cambria"/>
          <w:spacing w:val="-3"/>
        </w:rPr>
        <w:t xml:space="preserve"> </w:t>
      </w:r>
      <w:proofErr w:type="gramStart"/>
      <w:r w:rsidRPr="00036DAD">
        <w:rPr>
          <w:rFonts w:ascii="Cambria" w:hAnsi="Cambria"/>
          <w:spacing w:val="-3"/>
        </w:rPr>
        <w:t>In order to</w:t>
      </w:r>
      <w:proofErr w:type="gramEnd"/>
      <w:r w:rsidRPr="00036DAD">
        <w:rPr>
          <w:rFonts w:ascii="Cambria" w:hAnsi="Cambria"/>
          <w:spacing w:val="-3"/>
        </w:rPr>
        <w:t xml:space="preserve"> monitor compliance with our personal trading policy, </w:t>
      </w:r>
      <w:r>
        <w:rPr>
          <w:rFonts w:ascii="Cambria" w:hAnsi="Cambria"/>
          <w:spacing w:val="-3"/>
        </w:rPr>
        <w:t>our firm has</w:t>
      </w:r>
      <w:r w:rsidRPr="00036DAD">
        <w:rPr>
          <w:rFonts w:ascii="Cambria" w:hAnsi="Cambria"/>
          <w:spacing w:val="-3"/>
        </w:rPr>
        <w:t xml:space="preserve"> </w:t>
      </w:r>
      <w:r>
        <w:rPr>
          <w:rFonts w:ascii="Cambria" w:hAnsi="Cambria"/>
          <w:spacing w:val="-3"/>
        </w:rPr>
        <w:t xml:space="preserve">pre-clearance requirements and </w:t>
      </w:r>
      <w:r w:rsidRPr="00036DAD">
        <w:rPr>
          <w:rFonts w:ascii="Cambria" w:hAnsi="Cambria"/>
          <w:spacing w:val="-3"/>
        </w:rPr>
        <w:t xml:space="preserve">a quarterly securities transaction reporting system for all of our </w:t>
      </w:r>
      <w:r>
        <w:rPr>
          <w:rFonts w:ascii="Cambria" w:hAnsi="Cambria"/>
          <w:spacing w:val="-3"/>
        </w:rPr>
        <w:t>representatives</w:t>
      </w:r>
      <w:r w:rsidRPr="00036DAD">
        <w:rPr>
          <w:rFonts w:ascii="Cambria" w:hAnsi="Cambria"/>
          <w:spacing w:val="-3"/>
        </w:rPr>
        <w:t xml:space="preserve">. </w:t>
      </w:r>
    </w:p>
    <w:p w:rsidR="006847BE" w:rsidP="006847BE" w:rsidRDefault="006847BE" w14:paraId="38500108" w14:textId="77777777">
      <w:pPr>
        <w:jc w:val="both"/>
        <w:rPr>
          <w:rFonts w:ascii="Cambria" w:hAnsi="Cambria"/>
          <w:spacing w:val="-3"/>
        </w:rPr>
      </w:pPr>
    </w:p>
    <w:p w:rsidRPr="00A9743E" w:rsidR="006847BE" w:rsidP="006847BE" w:rsidRDefault="006847BE" w14:paraId="70446732" w14:textId="77777777">
      <w:pPr>
        <w:jc w:val="both"/>
        <w:rPr>
          <w:rFonts w:ascii="Cambria" w:hAnsi="Cambria" w:cs="Arial"/>
          <w:color w:val="000000"/>
        </w:rPr>
      </w:pPr>
      <w:r w:rsidRPr="00BB76E0">
        <w:rPr>
          <w:rFonts w:ascii="Cambria" w:hAnsi="Cambria" w:cs="Arial"/>
          <w:color w:val="000000"/>
        </w:rPr>
        <w:t>Neither our firm nor a related person r</w:t>
      </w:r>
      <w:r w:rsidRPr="00C23982">
        <w:rPr>
          <w:rFonts w:ascii="Cambria" w:hAnsi="Cambria" w:cs="Arial"/>
          <w:color w:val="000000"/>
        </w:rPr>
        <w:t>ecommends</w:t>
      </w:r>
      <w:r>
        <w:rPr>
          <w:rFonts w:ascii="Cambria" w:hAnsi="Cambria" w:cs="Arial"/>
          <w:color w:val="000000"/>
        </w:rPr>
        <w:t>,</w:t>
      </w:r>
      <w:r w:rsidRPr="00C23982">
        <w:rPr>
          <w:rFonts w:ascii="Cambria" w:hAnsi="Cambria" w:cs="Arial"/>
          <w:color w:val="000000"/>
        </w:rPr>
        <w:t xml:space="preserve"> buys or sells for client accounts, securities in which our firm or a related person has a material f</w:t>
      </w:r>
      <w:r w:rsidRPr="00A9743E">
        <w:rPr>
          <w:rFonts w:ascii="Cambria" w:hAnsi="Cambria" w:cs="Arial"/>
          <w:color w:val="000000"/>
        </w:rPr>
        <w:t>inancial interest</w:t>
      </w:r>
      <w:r>
        <w:rPr>
          <w:rFonts w:ascii="Cambria" w:hAnsi="Cambria" w:cs="Arial"/>
          <w:color w:val="000000"/>
        </w:rPr>
        <w:t xml:space="preserve"> without prior disclosure to the client.</w:t>
      </w:r>
    </w:p>
    <w:p w:rsidR="006847BE" w:rsidP="006847BE" w:rsidRDefault="006847BE" w14:paraId="0B37DA76" w14:textId="77777777">
      <w:pPr>
        <w:jc w:val="both"/>
        <w:rPr>
          <w:rFonts w:ascii="Cambria" w:hAnsi="Cambria"/>
          <w:spacing w:val="-3"/>
        </w:rPr>
      </w:pPr>
    </w:p>
    <w:p w:rsidRPr="00C23982" w:rsidR="006847BE" w:rsidP="006847BE" w:rsidRDefault="006847BE" w14:paraId="78C4868E" w14:textId="77777777">
      <w:pPr>
        <w:pStyle w:val="NoSpacing"/>
        <w:jc w:val="both"/>
        <w:rPr>
          <w:rFonts w:ascii="Cambria" w:hAnsi="Cambria" w:cs="Arial"/>
          <w:spacing w:val="-3"/>
        </w:rPr>
      </w:pPr>
      <w:r w:rsidRPr="00625BF6">
        <w:rPr>
          <w:rFonts w:ascii="Cambria" w:hAnsi="Cambria" w:cs="Arial"/>
        </w:rPr>
        <w:t xml:space="preserve">Related persons of our firm may buy or sell securities and other investments that are also recommended to clients. </w:t>
      </w:r>
      <w:proofErr w:type="gramStart"/>
      <w:r w:rsidRPr="00625BF6">
        <w:rPr>
          <w:rFonts w:ascii="Cambria" w:hAnsi="Cambria" w:cs="Arial"/>
        </w:rPr>
        <w:t>In order to</w:t>
      </w:r>
      <w:proofErr w:type="gramEnd"/>
      <w:r w:rsidRPr="00625BF6">
        <w:rPr>
          <w:rFonts w:ascii="Cambria" w:hAnsi="Cambria" w:cs="Arial"/>
        </w:rPr>
        <w:t xml:space="preserve"> minimize this conflict of interest, our related persons will place client interests ahead of their own interests and adhere to our firm’s Code of Ethics, a copy of which is available upon request.</w:t>
      </w:r>
    </w:p>
    <w:p w:rsidR="006847BE" w:rsidP="006847BE" w:rsidRDefault="006847BE" w14:paraId="266ADD70" w14:textId="77777777">
      <w:pPr>
        <w:jc w:val="both"/>
        <w:rPr>
          <w:rFonts w:ascii="Cambria" w:hAnsi="Cambria"/>
          <w:spacing w:val="-3"/>
        </w:rPr>
      </w:pPr>
    </w:p>
    <w:p w:rsidR="006847BE" w:rsidP="006847BE" w:rsidRDefault="006847BE" w14:paraId="6CBDE23C" w14:textId="1AB292F7">
      <w:pPr>
        <w:jc w:val="both"/>
        <w:rPr>
          <w:rFonts w:ascii="Cambria" w:hAnsi="Cambria" w:cs="Arial"/>
          <w:spacing w:val="-3"/>
        </w:rPr>
      </w:pPr>
      <w:r w:rsidRPr="00C23982">
        <w:rPr>
          <w:rFonts w:ascii="Cambria" w:hAnsi="Cambria" w:cs="Arial"/>
          <w:spacing w:val="-3"/>
        </w:rPr>
        <w:t xml:space="preserve">Likewise, related persons of our firm buy or sell securities for themselves at or about the same time they buy or sell the same securities for client accounts. </w:t>
      </w:r>
      <w:proofErr w:type="gramStart"/>
      <w:r w:rsidRPr="00C23982">
        <w:rPr>
          <w:rFonts w:ascii="Cambria" w:hAnsi="Cambria" w:cs="Arial"/>
          <w:spacing w:val="-3"/>
        </w:rPr>
        <w:t>In order to</w:t>
      </w:r>
      <w:proofErr w:type="gramEnd"/>
      <w:r w:rsidRPr="00C23982">
        <w:rPr>
          <w:rFonts w:ascii="Cambria" w:hAnsi="Cambria" w:cs="Arial"/>
          <w:spacing w:val="-3"/>
        </w:rPr>
        <w:t xml:space="preserve"> minimize this conflict of interest, our related persons will place client interests ahead of their own interests and adhere to </w:t>
      </w:r>
      <w:r w:rsidRPr="004402CB">
        <w:rPr>
          <w:rFonts w:ascii="Cambria" w:hAnsi="Cambria" w:cs="Arial"/>
          <w:spacing w:val="-3"/>
        </w:rPr>
        <w:t>our firm’s Code of Ethics, a copy of which is available upon request. Further, our related persons will refrain from buying or selling the same securities prior to buying or selling for our clients in the same day</w:t>
      </w:r>
      <w:r w:rsidRPr="004402CB" w:rsidR="007B1002">
        <w:rPr>
          <w:rFonts w:ascii="Cambria" w:hAnsi="Cambria" w:cs="Arial"/>
          <w:spacing w:val="-3"/>
        </w:rPr>
        <w:t xml:space="preserve"> unless</w:t>
      </w:r>
      <w:r w:rsidR="007B1002">
        <w:rPr>
          <w:rFonts w:ascii="Cambria" w:hAnsi="Cambria" w:cs="Arial"/>
          <w:spacing w:val="-3"/>
        </w:rPr>
        <w:t xml:space="preserve"> included in </w:t>
      </w:r>
      <w:r w:rsidRPr="00C23982">
        <w:rPr>
          <w:rFonts w:ascii="Cambria" w:hAnsi="Cambria" w:cs="Arial"/>
          <w:spacing w:val="-3"/>
        </w:rPr>
        <w:t>a block trade.</w:t>
      </w:r>
    </w:p>
    <w:p w:rsidRPr="00E87509" w:rsidR="001976A6" w:rsidP="007D5DDB" w:rsidRDefault="001976A6" w14:paraId="6C4012CF" w14:textId="73BC6169">
      <w:pPr>
        <w:pStyle w:val="BodyText"/>
        <w:jc w:val="both"/>
        <w:rPr>
          <w:rFonts w:ascii="Cambria" w:hAnsi="Cambria" w:cs="Arial"/>
          <w:sz w:val="22"/>
          <w:szCs w:val="22"/>
        </w:rPr>
      </w:pPr>
    </w:p>
    <w:p w:rsidRPr="00594E59" w:rsidR="006847BE" w:rsidP="0002356D" w:rsidRDefault="006847BE" w14:paraId="3FD592A4"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87" w:id="24"/>
    </w:p>
    <w:p w:rsidR="006847BE" w:rsidP="0002356D" w:rsidRDefault="006847BE" w14:paraId="7F676595"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5" w:id="25"/>
      <w:r w:rsidRPr="00EE0750">
        <w:rPr>
          <w:rFonts w:ascii="Cambria" w:hAnsi="Cambria" w:cs="Arial"/>
          <w:b/>
          <w:sz w:val="24"/>
          <w:szCs w:val="24"/>
        </w:rPr>
        <w:t>Item 12: Brokerage Practices</w:t>
      </w:r>
      <w:bookmarkEnd w:id="24"/>
      <w:bookmarkEnd w:id="25"/>
    </w:p>
    <w:p w:rsidRPr="00594E59" w:rsidR="006847BE" w:rsidP="0002356D" w:rsidRDefault="006847BE" w14:paraId="3CB0F453"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6847BE" w:rsidP="006847BE" w:rsidRDefault="006847BE" w14:paraId="6B99DCE8" w14:textId="77777777">
      <w:pPr>
        <w:pStyle w:val="NoSpacing"/>
        <w:jc w:val="center"/>
        <w:outlineLvl w:val="0"/>
        <w:rPr>
          <w:rFonts w:ascii="Cambria" w:hAnsi="Cambria" w:cs="Arial"/>
          <w:b/>
          <w:u w:val="single"/>
        </w:rPr>
      </w:pPr>
    </w:p>
    <w:p w:rsidRPr="008C1039" w:rsidR="004402CB" w:rsidP="004402CB" w:rsidRDefault="004402CB" w14:paraId="738111BA" w14:textId="77777777">
      <w:pPr>
        <w:jc w:val="both"/>
        <w:rPr>
          <w:rFonts w:ascii="Cambria" w:hAnsi="Cambria"/>
          <w:b/>
        </w:rPr>
      </w:pPr>
      <w:bookmarkStart w:name="_Hlk496602743" w:id="26"/>
      <w:r w:rsidRPr="008C1039">
        <w:rPr>
          <w:rFonts w:ascii="Cambria" w:hAnsi="Cambria"/>
          <w:b/>
        </w:rPr>
        <w:t xml:space="preserve">Custodian </w:t>
      </w:r>
      <w:r>
        <w:rPr>
          <w:rFonts w:ascii="Cambria" w:hAnsi="Cambria"/>
          <w:b/>
        </w:rPr>
        <w:t>&amp;</w:t>
      </w:r>
      <w:r w:rsidRPr="008C1039">
        <w:rPr>
          <w:rFonts w:ascii="Cambria" w:hAnsi="Cambria"/>
          <w:b/>
        </w:rPr>
        <w:t xml:space="preserve"> Brokers Use</w:t>
      </w:r>
      <w:r>
        <w:rPr>
          <w:rFonts w:ascii="Cambria" w:hAnsi="Cambria"/>
          <w:b/>
        </w:rPr>
        <w:t>d</w:t>
      </w:r>
    </w:p>
    <w:bookmarkEnd w:id="26"/>
    <w:p w:rsidR="004402CB" w:rsidP="004402CB" w:rsidRDefault="004402CB" w14:paraId="39920CB3" w14:textId="77777777">
      <w:pPr>
        <w:jc w:val="both"/>
        <w:rPr>
          <w:rFonts w:ascii="Cambria" w:hAnsi="Cambria"/>
        </w:rPr>
      </w:pPr>
    </w:p>
    <w:p w:rsidRPr="006241A5" w:rsidR="004402CB" w:rsidP="004402CB" w:rsidRDefault="004402CB" w14:paraId="32FDF9E2" w14:textId="77777777">
      <w:pPr>
        <w:jc w:val="both"/>
        <w:rPr>
          <w:rFonts w:ascii="Cambria" w:hAnsi="Cambria"/>
        </w:rPr>
      </w:pPr>
      <w:bookmarkStart w:name="_Hlk496602762" w:id="27"/>
      <w:r w:rsidRPr="006241A5">
        <w:rPr>
          <w:rFonts w:ascii="Cambria" w:hAnsi="Cambria"/>
        </w:rPr>
        <w:t xml:space="preserve">Our firm does not maintain custody of </w:t>
      </w:r>
      <w:r>
        <w:rPr>
          <w:rFonts w:ascii="Cambria" w:hAnsi="Cambria"/>
        </w:rPr>
        <w:t>client</w:t>
      </w:r>
      <w:r w:rsidRPr="006241A5">
        <w:rPr>
          <w:rFonts w:ascii="Cambria" w:hAnsi="Cambria"/>
        </w:rPr>
        <w:t xml:space="preserve"> assets (although </w:t>
      </w:r>
      <w:r>
        <w:rPr>
          <w:rFonts w:ascii="Cambria" w:hAnsi="Cambria"/>
        </w:rPr>
        <w:t>our firm</w:t>
      </w:r>
      <w:r w:rsidRPr="006241A5">
        <w:rPr>
          <w:rFonts w:ascii="Cambria" w:hAnsi="Cambria"/>
        </w:rPr>
        <w:t xml:space="preserve"> may be deemed to have custody of </w:t>
      </w:r>
      <w:r>
        <w:rPr>
          <w:rFonts w:ascii="Cambria" w:hAnsi="Cambria"/>
        </w:rPr>
        <w:t>client</w:t>
      </w:r>
      <w:r w:rsidRPr="006241A5">
        <w:rPr>
          <w:rFonts w:ascii="Cambria" w:hAnsi="Cambria"/>
        </w:rPr>
        <w:t xml:space="preserve"> assets if </w:t>
      </w:r>
      <w:r>
        <w:rPr>
          <w:rFonts w:ascii="Cambria" w:hAnsi="Cambria"/>
        </w:rPr>
        <w:t>give the</w:t>
      </w:r>
      <w:r w:rsidRPr="006241A5">
        <w:rPr>
          <w:rFonts w:ascii="Cambria" w:hAnsi="Cambria"/>
        </w:rPr>
        <w:t xml:space="preserve"> authority to withdraw assets from </w:t>
      </w:r>
      <w:r>
        <w:rPr>
          <w:rFonts w:ascii="Cambria" w:hAnsi="Cambria"/>
        </w:rPr>
        <w:t>client</w:t>
      </w:r>
      <w:r w:rsidRPr="006241A5">
        <w:rPr>
          <w:rFonts w:ascii="Cambria" w:hAnsi="Cambria"/>
        </w:rPr>
        <w:t xml:space="preserve"> account</w:t>
      </w:r>
      <w:r>
        <w:rPr>
          <w:rFonts w:ascii="Cambria" w:hAnsi="Cambria"/>
        </w:rPr>
        <w:t>s. S</w:t>
      </w:r>
      <w:r w:rsidRPr="006241A5">
        <w:rPr>
          <w:rFonts w:ascii="Cambria" w:hAnsi="Cambria"/>
        </w:rPr>
        <w:t xml:space="preserve">ee </w:t>
      </w:r>
      <w:r w:rsidRPr="00433759">
        <w:rPr>
          <w:rFonts w:ascii="Cambria" w:hAnsi="Cambria"/>
          <w:i/>
        </w:rPr>
        <w:t>Item 15 Custody</w:t>
      </w:r>
      <w:r w:rsidRPr="006241A5">
        <w:rPr>
          <w:rFonts w:ascii="Cambria" w:hAnsi="Cambria"/>
        </w:rPr>
        <w:t xml:space="preserve">, below). </w:t>
      </w:r>
      <w:r>
        <w:rPr>
          <w:rFonts w:ascii="Cambria" w:hAnsi="Cambria"/>
        </w:rPr>
        <w:t>Client</w:t>
      </w:r>
      <w:r w:rsidRPr="006241A5">
        <w:rPr>
          <w:rFonts w:ascii="Cambria" w:hAnsi="Cambria"/>
        </w:rPr>
        <w:t xml:space="preserve"> assets must be maintained in an account at a “qualified custodian,” generally a broker-dealer or bank.</w:t>
      </w:r>
      <w:bookmarkEnd w:id="27"/>
      <w:r>
        <w:rPr>
          <w:rFonts w:ascii="Cambria" w:hAnsi="Cambria"/>
        </w:rPr>
        <w:t xml:space="preserve"> Our firm</w:t>
      </w:r>
      <w:r w:rsidRPr="006241A5">
        <w:rPr>
          <w:rFonts w:ascii="Cambria" w:hAnsi="Cambria"/>
        </w:rPr>
        <w:t xml:space="preserve"> recommend</w:t>
      </w:r>
      <w:r>
        <w:rPr>
          <w:rFonts w:ascii="Cambria" w:hAnsi="Cambria"/>
        </w:rPr>
        <w:t>s</w:t>
      </w:r>
      <w:r w:rsidRPr="006241A5">
        <w:rPr>
          <w:rFonts w:ascii="Cambria" w:hAnsi="Cambria"/>
        </w:rPr>
        <w:t xml:space="preserve"> that clients use </w:t>
      </w:r>
      <w:bookmarkStart w:name="_Hlk499018423" w:id="28"/>
      <w:r w:rsidRPr="000F7355">
        <w:rPr>
          <w:rFonts w:ascii="Cambria" w:hAnsi="Cambria" w:cs="Arial"/>
          <w:spacing w:val="-3"/>
        </w:rPr>
        <w:t>the Schwab Advisor Services division of Charles Schwab &amp; Co. Inc. (“Schwab”)</w:t>
      </w:r>
      <w:bookmarkEnd w:id="28"/>
      <w:r>
        <w:rPr>
          <w:rFonts w:ascii="Cambria" w:hAnsi="Cambria"/>
        </w:rPr>
        <w:t xml:space="preserve">, </w:t>
      </w:r>
      <w:r w:rsidRPr="006241A5">
        <w:rPr>
          <w:rFonts w:ascii="Cambria" w:hAnsi="Cambria"/>
        </w:rPr>
        <w:t>a FINRA-registered broker-dealer, member SIPC, as the qualified custodian.</w:t>
      </w:r>
      <w:r>
        <w:rPr>
          <w:rFonts w:ascii="Cambria" w:hAnsi="Cambria"/>
        </w:rPr>
        <w:t xml:space="preserve"> Our firm is</w:t>
      </w:r>
      <w:r w:rsidRPr="006241A5">
        <w:rPr>
          <w:rFonts w:ascii="Cambria" w:hAnsi="Cambria"/>
        </w:rPr>
        <w:t xml:space="preserve"> independently owned and operated</w:t>
      </w:r>
      <w:r>
        <w:rPr>
          <w:rFonts w:ascii="Cambria" w:hAnsi="Cambria"/>
        </w:rPr>
        <w:t>,</w:t>
      </w:r>
      <w:r w:rsidRPr="006241A5">
        <w:rPr>
          <w:rFonts w:ascii="Cambria" w:hAnsi="Cambria"/>
        </w:rPr>
        <w:t xml:space="preserve"> and not affiliated with Schwab. </w:t>
      </w:r>
      <w:bookmarkStart w:name="_Hlk496602850" w:id="29"/>
      <w:r w:rsidRPr="006241A5">
        <w:rPr>
          <w:rFonts w:ascii="Cambria" w:hAnsi="Cambria"/>
        </w:rPr>
        <w:t xml:space="preserve">Schwab will hold </w:t>
      </w:r>
      <w:r>
        <w:rPr>
          <w:rFonts w:ascii="Cambria" w:hAnsi="Cambria"/>
        </w:rPr>
        <w:t>client</w:t>
      </w:r>
      <w:r w:rsidRPr="006241A5">
        <w:rPr>
          <w:rFonts w:ascii="Cambria" w:hAnsi="Cambria"/>
        </w:rPr>
        <w:t xml:space="preserve"> assets in a brokerage account and buy and sell securities when instruct</w:t>
      </w:r>
      <w:r>
        <w:rPr>
          <w:rFonts w:ascii="Cambria" w:hAnsi="Cambria"/>
        </w:rPr>
        <w:t>ed</w:t>
      </w:r>
      <w:r w:rsidRPr="006241A5">
        <w:rPr>
          <w:rFonts w:ascii="Cambria" w:hAnsi="Cambria"/>
        </w:rPr>
        <w:t xml:space="preserve">. While </w:t>
      </w:r>
      <w:r>
        <w:rPr>
          <w:rFonts w:ascii="Cambria" w:hAnsi="Cambria"/>
        </w:rPr>
        <w:t>our firm</w:t>
      </w:r>
      <w:r w:rsidRPr="006241A5">
        <w:rPr>
          <w:rFonts w:ascii="Cambria" w:hAnsi="Cambria"/>
        </w:rPr>
        <w:t xml:space="preserve"> recommend</w:t>
      </w:r>
      <w:r>
        <w:rPr>
          <w:rFonts w:ascii="Cambria" w:hAnsi="Cambria"/>
        </w:rPr>
        <w:t>s</w:t>
      </w:r>
      <w:r w:rsidRPr="006241A5">
        <w:rPr>
          <w:rFonts w:ascii="Cambria" w:hAnsi="Cambria"/>
        </w:rPr>
        <w:t xml:space="preserve"> that </w:t>
      </w:r>
      <w:r>
        <w:rPr>
          <w:rFonts w:ascii="Cambria" w:hAnsi="Cambria"/>
        </w:rPr>
        <w:t>clients</w:t>
      </w:r>
      <w:r w:rsidRPr="006241A5">
        <w:rPr>
          <w:rFonts w:ascii="Cambria" w:hAnsi="Cambria"/>
        </w:rPr>
        <w:t xml:space="preserve"> use Schwab as custodian/broker, </w:t>
      </w:r>
      <w:r>
        <w:rPr>
          <w:rFonts w:ascii="Cambria" w:hAnsi="Cambria"/>
        </w:rPr>
        <w:t>clients</w:t>
      </w:r>
      <w:r w:rsidRPr="006241A5">
        <w:rPr>
          <w:rFonts w:ascii="Cambria" w:hAnsi="Cambria"/>
        </w:rPr>
        <w:t xml:space="preserve"> will decide whether </w:t>
      </w:r>
      <w:r w:rsidRPr="006241A5">
        <w:rPr>
          <w:rFonts w:ascii="Cambria" w:hAnsi="Cambria"/>
        </w:rPr>
        <w:lastRenderedPageBreak/>
        <w:t xml:space="preserve">to do so and open </w:t>
      </w:r>
      <w:r>
        <w:rPr>
          <w:rFonts w:ascii="Cambria" w:hAnsi="Cambria"/>
        </w:rPr>
        <w:t>an</w:t>
      </w:r>
      <w:r w:rsidRPr="006241A5">
        <w:rPr>
          <w:rFonts w:ascii="Cambria" w:hAnsi="Cambria"/>
        </w:rPr>
        <w:t xml:space="preserve"> account with Schwab by entering into an account agreement directly with them.</w:t>
      </w:r>
      <w:r>
        <w:rPr>
          <w:rFonts w:ascii="Cambria" w:hAnsi="Cambria"/>
        </w:rPr>
        <w:t xml:space="preserve"> Our firm does</w:t>
      </w:r>
      <w:r w:rsidRPr="006241A5">
        <w:rPr>
          <w:rFonts w:ascii="Cambria" w:hAnsi="Cambria"/>
        </w:rPr>
        <w:t xml:space="preserve"> not open the account. Even though </w:t>
      </w:r>
      <w:r>
        <w:rPr>
          <w:rFonts w:ascii="Cambria" w:hAnsi="Cambria"/>
        </w:rPr>
        <w:t xml:space="preserve">the </w:t>
      </w:r>
      <w:r w:rsidRPr="006241A5">
        <w:rPr>
          <w:rFonts w:ascii="Cambria" w:hAnsi="Cambria"/>
        </w:rPr>
        <w:t xml:space="preserve">account is maintained at Schwab, </w:t>
      </w:r>
      <w:r>
        <w:rPr>
          <w:rFonts w:ascii="Cambria" w:hAnsi="Cambria"/>
        </w:rPr>
        <w:t>our firm</w:t>
      </w:r>
      <w:r w:rsidRPr="006241A5">
        <w:rPr>
          <w:rFonts w:ascii="Cambria" w:hAnsi="Cambria"/>
        </w:rPr>
        <w:t xml:space="preserve"> can still use other brokers to execute trades, as described in the next paragraph.</w:t>
      </w:r>
      <w:bookmarkEnd w:id="29"/>
    </w:p>
    <w:p w:rsidR="004402CB" w:rsidP="004402CB" w:rsidRDefault="004402CB" w14:paraId="5468182F" w14:textId="4E027ECE">
      <w:pPr>
        <w:jc w:val="both"/>
        <w:rPr>
          <w:rFonts w:ascii="Cambria" w:hAnsi="Cambria"/>
        </w:rPr>
      </w:pPr>
    </w:p>
    <w:p w:rsidRPr="008C1039" w:rsidR="004402CB" w:rsidP="004402CB" w:rsidRDefault="004402CB" w14:paraId="3874AF0C" w14:textId="77777777">
      <w:pPr>
        <w:jc w:val="both"/>
        <w:rPr>
          <w:rFonts w:ascii="Cambria" w:hAnsi="Cambria"/>
          <w:b/>
        </w:rPr>
      </w:pPr>
      <w:bookmarkStart w:name="_Hlk496602932" w:id="30"/>
      <w:r w:rsidRPr="008C1039">
        <w:rPr>
          <w:rFonts w:ascii="Cambria" w:hAnsi="Cambria"/>
          <w:b/>
        </w:rPr>
        <w:t xml:space="preserve">How Brokers/Custodians </w:t>
      </w:r>
      <w:r>
        <w:rPr>
          <w:rFonts w:ascii="Cambria" w:hAnsi="Cambria"/>
          <w:b/>
        </w:rPr>
        <w:t>Are Selected</w:t>
      </w:r>
    </w:p>
    <w:p w:rsidR="004402CB" w:rsidP="004402CB" w:rsidRDefault="004402CB" w14:paraId="6F6C2F61" w14:textId="77777777">
      <w:pPr>
        <w:jc w:val="both"/>
        <w:rPr>
          <w:rFonts w:ascii="Cambria" w:hAnsi="Cambria"/>
        </w:rPr>
      </w:pPr>
    </w:p>
    <w:p w:rsidRPr="006241A5" w:rsidR="004402CB" w:rsidP="004402CB" w:rsidRDefault="004402CB" w14:paraId="24629C25" w14:textId="77777777">
      <w:pPr>
        <w:jc w:val="both"/>
        <w:rPr>
          <w:rFonts w:ascii="Cambria" w:hAnsi="Cambria"/>
        </w:rPr>
      </w:pPr>
      <w:r>
        <w:rPr>
          <w:rFonts w:ascii="Cambria" w:hAnsi="Cambria"/>
        </w:rPr>
        <w:t xml:space="preserve">Our firm </w:t>
      </w:r>
      <w:r w:rsidRPr="006241A5">
        <w:rPr>
          <w:rFonts w:ascii="Cambria" w:hAnsi="Cambria"/>
        </w:rPr>
        <w:t>seek</w:t>
      </w:r>
      <w:r>
        <w:rPr>
          <w:rFonts w:ascii="Cambria" w:hAnsi="Cambria"/>
        </w:rPr>
        <w:t>s</w:t>
      </w:r>
      <w:r w:rsidRPr="006241A5">
        <w:rPr>
          <w:rFonts w:ascii="Cambria" w:hAnsi="Cambria"/>
        </w:rPr>
        <w:t xml:space="preserve"> to recommend a custodian/broker who will hold </w:t>
      </w:r>
      <w:r>
        <w:rPr>
          <w:rFonts w:ascii="Cambria" w:hAnsi="Cambria"/>
        </w:rPr>
        <w:t>client</w:t>
      </w:r>
      <w:r w:rsidRPr="006241A5">
        <w:rPr>
          <w:rFonts w:ascii="Cambria" w:hAnsi="Cambria"/>
        </w:rPr>
        <w:t xml:space="preserve"> assets and execute transactions on terms that are overall most advantageous when compared to other available providers and their services. </w:t>
      </w:r>
      <w:r>
        <w:rPr>
          <w:rFonts w:ascii="Cambria" w:hAnsi="Cambria"/>
        </w:rPr>
        <w:t>A</w:t>
      </w:r>
      <w:r w:rsidRPr="006241A5">
        <w:rPr>
          <w:rFonts w:ascii="Cambria" w:hAnsi="Cambria"/>
        </w:rPr>
        <w:t xml:space="preserve"> wide range of factors</w:t>
      </w:r>
      <w:r>
        <w:rPr>
          <w:rFonts w:ascii="Cambria" w:hAnsi="Cambria"/>
        </w:rPr>
        <w:t xml:space="preserve"> are considered</w:t>
      </w:r>
      <w:r w:rsidRPr="006241A5">
        <w:rPr>
          <w:rFonts w:ascii="Cambria" w:hAnsi="Cambria"/>
        </w:rPr>
        <w:t xml:space="preserve">, including, </w:t>
      </w:r>
      <w:r>
        <w:rPr>
          <w:rFonts w:ascii="Cambria" w:hAnsi="Cambria"/>
        </w:rPr>
        <w:t>but not limited to</w:t>
      </w:r>
      <w:r w:rsidRPr="006241A5">
        <w:rPr>
          <w:rFonts w:ascii="Cambria" w:hAnsi="Cambria"/>
        </w:rPr>
        <w:t>:</w:t>
      </w:r>
    </w:p>
    <w:p w:rsidRPr="006241A5" w:rsidR="004402CB" w:rsidP="004402CB" w:rsidRDefault="004402CB" w14:paraId="760CED50" w14:textId="77777777">
      <w:pPr>
        <w:pStyle w:val="ListParagraph"/>
        <w:numPr>
          <w:ilvl w:val="0"/>
          <w:numId w:val="27"/>
        </w:numPr>
        <w:contextualSpacing/>
        <w:jc w:val="both"/>
        <w:rPr>
          <w:rFonts w:ascii="Cambria" w:hAnsi="Cambria"/>
        </w:rPr>
      </w:pPr>
      <w:r w:rsidRPr="006241A5">
        <w:rPr>
          <w:rFonts w:ascii="Cambria" w:hAnsi="Cambria"/>
        </w:rPr>
        <w:t>combination of transaction execution services along with asset custody services (generally without a separate fee for custody)</w:t>
      </w:r>
    </w:p>
    <w:p w:rsidRPr="006241A5" w:rsidR="004402CB" w:rsidP="004402CB" w:rsidRDefault="004402CB" w14:paraId="68F906E7" w14:textId="77777777">
      <w:pPr>
        <w:pStyle w:val="ListParagraph"/>
        <w:numPr>
          <w:ilvl w:val="0"/>
          <w:numId w:val="27"/>
        </w:numPr>
        <w:contextualSpacing/>
        <w:jc w:val="both"/>
        <w:rPr>
          <w:rFonts w:ascii="Cambria" w:hAnsi="Cambria"/>
        </w:rPr>
      </w:pPr>
      <w:r w:rsidRPr="006241A5">
        <w:rPr>
          <w:rFonts w:ascii="Cambria" w:hAnsi="Cambria"/>
        </w:rPr>
        <w:t xml:space="preserve">capability to execute, clear and settle trades (buy and sell securities for </w:t>
      </w:r>
      <w:r>
        <w:rPr>
          <w:rFonts w:ascii="Cambria" w:hAnsi="Cambria"/>
        </w:rPr>
        <w:t>client</w:t>
      </w:r>
      <w:r w:rsidRPr="006241A5">
        <w:rPr>
          <w:rFonts w:ascii="Cambria" w:hAnsi="Cambria"/>
        </w:rPr>
        <w:t xml:space="preserve"> account</w:t>
      </w:r>
      <w:r>
        <w:rPr>
          <w:rFonts w:ascii="Cambria" w:hAnsi="Cambria"/>
        </w:rPr>
        <w:t>s</w:t>
      </w:r>
      <w:r w:rsidRPr="006241A5">
        <w:rPr>
          <w:rFonts w:ascii="Cambria" w:hAnsi="Cambria"/>
        </w:rPr>
        <w:t>)</w:t>
      </w:r>
    </w:p>
    <w:p w:rsidRPr="006241A5" w:rsidR="004402CB" w:rsidP="004402CB" w:rsidRDefault="004402CB" w14:paraId="348ABB0A" w14:textId="77777777">
      <w:pPr>
        <w:pStyle w:val="ListParagraph"/>
        <w:numPr>
          <w:ilvl w:val="0"/>
          <w:numId w:val="27"/>
        </w:numPr>
        <w:contextualSpacing/>
        <w:jc w:val="both"/>
        <w:rPr>
          <w:rFonts w:ascii="Cambria" w:hAnsi="Cambria"/>
        </w:rPr>
      </w:pPr>
      <w:r w:rsidRPr="006241A5">
        <w:rPr>
          <w:rFonts w:ascii="Cambria" w:hAnsi="Cambria"/>
        </w:rPr>
        <w:t>capabilities to facilitate transfers and payments to and from accounts (wire transfers, check requests, bill</w:t>
      </w:r>
      <w:r>
        <w:rPr>
          <w:rFonts w:ascii="Cambria" w:hAnsi="Cambria"/>
        </w:rPr>
        <w:t xml:space="preserve"> </w:t>
      </w:r>
      <w:r w:rsidRPr="006241A5">
        <w:rPr>
          <w:rFonts w:ascii="Cambria" w:hAnsi="Cambria"/>
        </w:rPr>
        <w:t>payment, etc.)</w:t>
      </w:r>
    </w:p>
    <w:p w:rsidRPr="006241A5" w:rsidR="004402CB" w:rsidP="004402CB" w:rsidRDefault="004402CB" w14:paraId="4936306B" w14:textId="77777777">
      <w:pPr>
        <w:pStyle w:val="ListParagraph"/>
        <w:numPr>
          <w:ilvl w:val="0"/>
          <w:numId w:val="27"/>
        </w:numPr>
        <w:contextualSpacing/>
        <w:jc w:val="both"/>
        <w:rPr>
          <w:rFonts w:ascii="Cambria" w:hAnsi="Cambria"/>
        </w:rPr>
      </w:pPr>
      <w:r w:rsidRPr="006241A5">
        <w:rPr>
          <w:rFonts w:ascii="Cambria" w:hAnsi="Cambria"/>
        </w:rPr>
        <w:t>breadth of investment products made available (stocks, bonds, mutual funds, exchange traded funds (ETFs), etc.)</w:t>
      </w:r>
    </w:p>
    <w:p w:rsidRPr="006241A5" w:rsidR="004402CB" w:rsidP="004402CB" w:rsidRDefault="004402CB" w14:paraId="3EEC6525" w14:textId="77777777">
      <w:pPr>
        <w:pStyle w:val="ListParagraph"/>
        <w:numPr>
          <w:ilvl w:val="0"/>
          <w:numId w:val="27"/>
        </w:numPr>
        <w:contextualSpacing/>
        <w:jc w:val="both"/>
        <w:rPr>
          <w:rFonts w:ascii="Cambria" w:hAnsi="Cambria"/>
        </w:rPr>
      </w:pPr>
      <w:r w:rsidRPr="006241A5">
        <w:rPr>
          <w:rFonts w:ascii="Cambria" w:hAnsi="Cambria"/>
        </w:rPr>
        <w:t>availability of investment research and tools that assist in making investment decisions quality of services</w:t>
      </w:r>
    </w:p>
    <w:p w:rsidRPr="006241A5" w:rsidR="004402CB" w:rsidP="004402CB" w:rsidRDefault="004402CB" w14:paraId="0DF101FA" w14:textId="77777777">
      <w:pPr>
        <w:pStyle w:val="ListParagraph"/>
        <w:numPr>
          <w:ilvl w:val="0"/>
          <w:numId w:val="27"/>
        </w:numPr>
        <w:contextualSpacing/>
        <w:jc w:val="both"/>
        <w:rPr>
          <w:rFonts w:ascii="Cambria" w:hAnsi="Cambria"/>
        </w:rPr>
      </w:pPr>
      <w:r w:rsidRPr="006241A5">
        <w:rPr>
          <w:rFonts w:ascii="Cambria" w:hAnsi="Cambria"/>
        </w:rPr>
        <w:t>competitiveness of the price of those services (commission rates, margin interest rates, other fees, etc.) and willingness to negotiate them</w:t>
      </w:r>
    </w:p>
    <w:p w:rsidRPr="006241A5" w:rsidR="004402CB" w:rsidP="004402CB" w:rsidRDefault="004402CB" w14:paraId="71E59CDF" w14:textId="77777777">
      <w:pPr>
        <w:pStyle w:val="ListParagraph"/>
        <w:numPr>
          <w:ilvl w:val="0"/>
          <w:numId w:val="27"/>
        </w:numPr>
        <w:contextualSpacing/>
        <w:jc w:val="both"/>
        <w:rPr>
          <w:rFonts w:ascii="Cambria" w:hAnsi="Cambria"/>
        </w:rPr>
      </w:pPr>
      <w:r w:rsidRPr="006241A5">
        <w:rPr>
          <w:rFonts w:ascii="Cambria" w:hAnsi="Cambria"/>
        </w:rPr>
        <w:t>reputation, financial strength and stability of the provider</w:t>
      </w:r>
    </w:p>
    <w:p w:rsidRPr="006241A5" w:rsidR="004402CB" w:rsidP="004402CB" w:rsidRDefault="004402CB" w14:paraId="10C01B0A" w14:textId="77777777">
      <w:pPr>
        <w:pStyle w:val="ListParagraph"/>
        <w:numPr>
          <w:ilvl w:val="0"/>
          <w:numId w:val="27"/>
        </w:numPr>
        <w:contextualSpacing/>
        <w:jc w:val="both"/>
        <w:rPr>
          <w:rFonts w:ascii="Cambria" w:hAnsi="Cambria"/>
        </w:rPr>
      </w:pPr>
      <w:r w:rsidRPr="006241A5">
        <w:rPr>
          <w:rFonts w:ascii="Cambria" w:hAnsi="Cambria"/>
        </w:rPr>
        <w:t xml:space="preserve">prior service to </w:t>
      </w:r>
      <w:r>
        <w:rPr>
          <w:rFonts w:ascii="Cambria" w:hAnsi="Cambria"/>
        </w:rPr>
        <w:t>our firm</w:t>
      </w:r>
      <w:r w:rsidRPr="006241A5">
        <w:rPr>
          <w:rFonts w:ascii="Cambria" w:hAnsi="Cambria"/>
        </w:rPr>
        <w:t xml:space="preserve"> and our other clients</w:t>
      </w:r>
    </w:p>
    <w:p w:rsidRPr="006241A5" w:rsidR="004402CB" w:rsidP="004402CB" w:rsidRDefault="004402CB" w14:paraId="34DA0435" w14:textId="77777777">
      <w:pPr>
        <w:pStyle w:val="ListParagraph"/>
        <w:numPr>
          <w:ilvl w:val="0"/>
          <w:numId w:val="27"/>
        </w:numPr>
        <w:contextualSpacing/>
        <w:jc w:val="both"/>
        <w:rPr>
          <w:rFonts w:ascii="Cambria" w:hAnsi="Cambria"/>
        </w:rPr>
      </w:pPr>
      <w:r w:rsidRPr="006241A5">
        <w:rPr>
          <w:rFonts w:ascii="Cambria" w:hAnsi="Cambria"/>
        </w:rPr>
        <w:t xml:space="preserve">availability of other products and services that benefit </w:t>
      </w:r>
      <w:r>
        <w:rPr>
          <w:rFonts w:ascii="Cambria" w:hAnsi="Cambria"/>
        </w:rPr>
        <w:t>our firm</w:t>
      </w:r>
      <w:r w:rsidRPr="006241A5">
        <w:rPr>
          <w:rFonts w:ascii="Cambria" w:hAnsi="Cambria"/>
        </w:rPr>
        <w:t>, as discussed below (see “</w:t>
      </w:r>
      <w:r w:rsidRPr="00433759">
        <w:rPr>
          <w:rFonts w:ascii="Cambria" w:hAnsi="Cambria"/>
          <w:i/>
        </w:rPr>
        <w:t>Products &amp; Services Available from Schwab</w:t>
      </w:r>
      <w:r w:rsidRPr="006241A5">
        <w:rPr>
          <w:rFonts w:ascii="Cambria" w:hAnsi="Cambria"/>
        </w:rPr>
        <w:t>”)</w:t>
      </w:r>
    </w:p>
    <w:bookmarkEnd w:id="30"/>
    <w:p w:rsidR="004402CB" w:rsidP="004402CB" w:rsidRDefault="004402CB" w14:paraId="2AE03A39" w14:textId="77777777">
      <w:pPr>
        <w:jc w:val="both"/>
        <w:rPr>
          <w:rFonts w:ascii="Cambria" w:hAnsi="Cambria"/>
          <w:b/>
        </w:rPr>
      </w:pPr>
    </w:p>
    <w:p w:rsidRPr="008C1039" w:rsidR="004402CB" w:rsidP="004402CB" w:rsidRDefault="004402CB" w14:paraId="772675CB" w14:textId="77777777">
      <w:pPr>
        <w:jc w:val="both"/>
        <w:rPr>
          <w:rFonts w:ascii="Cambria" w:hAnsi="Cambria"/>
          <w:b/>
        </w:rPr>
      </w:pPr>
      <w:bookmarkStart w:name="_Hlk496602963" w:id="31"/>
      <w:r w:rsidRPr="008C1039">
        <w:rPr>
          <w:rFonts w:ascii="Cambria" w:hAnsi="Cambria"/>
          <w:b/>
        </w:rPr>
        <w:t xml:space="preserve">Custody </w:t>
      </w:r>
      <w:r>
        <w:rPr>
          <w:rFonts w:ascii="Cambria" w:hAnsi="Cambria"/>
          <w:b/>
        </w:rPr>
        <w:t>&amp;</w:t>
      </w:r>
      <w:r w:rsidRPr="008C1039">
        <w:rPr>
          <w:rFonts w:ascii="Cambria" w:hAnsi="Cambria"/>
          <w:b/>
        </w:rPr>
        <w:t xml:space="preserve"> Brokerage Costs</w:t>
      </w:r>
    </w:p>
    <w:p w:rsidR="004402CB" w:rsidP="004402CB" w:rsidRDefault="004402CB" w14:paraId="1981EBD4" w14:textId="77777777">
      <w:pPr>
        <w:jc w:val="both"/>
        <w:rPr>
          <w:rFonts w:ascii="Cambria" w:hAnsi="Cambria"/>
        </w:rPr>
      </w:pPr>
    </w:p>
    <w:p w:rsidRPr="006241A5" w:rsidR="004402CB" w:rsidP="004402CB" w:rsidRDefault="004402CB" w14:paraId="2840D9E4" w14:textId="164B5F11">
      <w:pPr>
        <w:jc w:val="both"/>
        <w:rPr>
          <w:rFonts w:ascii="Cambria" w:hAnsi="Cambria"/>
        </w:rPr>
      </w:pPr>
      <w:r w:rsidRPr="006241A5">
        <w:rPr>
          <w:rFonts w:ascii="Cambria" w:hAnsi="Cambria"/>
        </w:rPr>
        <w:t xml:space="preserve">Schwab generally does not charge </w:t>
      </w:r>
      <w:r>
        <w:rPr>
          <w:rFonts w:ascii="Cambria" w:hAnsi="Cambria"/>
        </w:rPr>
        <w:t>a</w:t>
      </w:r>
      <w:r w:rsidRPr="006241A5">
        <w:rPr>
          <w:rFonts w:ascii="Cambria" w:hAnsi="Cambria"/>
        </w:rPr>
        <w:t xml:space="preserve"> separate </w:t>
      </w:r>
      <w:r w:rsidR="00131178">
        <w:rPr>
          <w:rFonts w:ascii="Cambria" w:hAnsi="Cambria"/>
        </w:rPr>
        <w:t xml:space="preserve">fee </w:t>
      </w:r>
      <w:r w:rsidRPr="006241A5">
        <w:rPr>
          <w:rFonts w:ascii="Cambria" w:hAnsi="Cambria"/>
        </w:rPr>
        <w:t xml:space="preserve">for custody </w:t>
      </w:r>
      <w:proofErr w:type="gramStart"/>
      <w:r w:rsidRPr="006241A5">
        <w:rPr>
          <w:rFonts w:ascii="Cambria" w:hAnsi="Cambria"/>
        </w:rPr>
        <w:t>services</w:t>
      </w:r>
      <w:r>
        <w:rPr>
          <w:rFonts w:ascii="Cambria" w:hAnsi="Cambria"/>
        </w:rPr>
        <w:t xml:space="preserve">, </w:t>
      </w:r>
      <w:r w:rsidRPr="006241A5">
        <w:rPr>
          <w:rFonts w:ascii="Cambria" w:hAnsi="Cambria"/>
        </w:rPr>
        <w:t>but</w:t>
      </w:r>
      <w:proofErr w:type="gramEnd"/>
      <w:r w:rsidRPr="006241A5">
        <w:rPr>
          <w:rFonts w:ascii="Cambria" w:hAnsi="Cambria"/>
        </w:rPr>
        <w:t xml:space="preserve"> is compensated by charging commissions or other fees </w:t>
      </w:r>
      <w:r>
        <w:rPr>
          <w:rFonts w:ascii="Cambria" w:hAnsi="Cambria"/>
        </w:rPr>
        <w:t xml:space="preserve">to clients </w:t>
      </w:r>
      <w:r w:rsidRPr="006241A5">
        <w:rPr>
          <w:rFonts w:ascii="Cambria" w:hAnsi="Cambria"/>
        </w:rPr>
        <w:t xml:space="preserve">on trades that </w:t>
      </w:r>
      <w:r>
        <w:rPr>
          <w:rFonts w:ascii="Cambria" w:hAnsi="Cambria"/>
        </w:rPr>
        <w:t>are</w:t>
      </w:r>
      <w:r w:rsidRPr="006241A5">
        <w:rPr>
          <w:rFonts w:ascii="Cambria" w:hAnsi="Cambria"/>
        </w:rPr>
        <w:t xml:space="preserve"> execute</w:t>
      </w:r>
      <w:r>
        <w:rPr>
          <w:rFonts w:ascii="Cambria" w:hAnsi="Cambria"/>
        </w:rPr>
        <w:t>d</w:t>
      </w:r>
      <w:r w:rsidRPr="006241A5">
        <w:rPr>
          <w:rFonts w:ascii="Cambria" w:hAnsi="Cambria"/>
        </w:rPr>
        <w:t xml:space="preserve"> or that settle into </w:t>
      </w:r>
      <w:r>
        <w:rPr>
          <w:rFonts w:ascii="Cambria" w:hAnsi="Cambria"/>
        </w:rPr>
        <w:t>the</w:t>
      </w:r>
      <w:r w:rsidRPr="006241A5">
        <w:rPr>
          <w:rFonts w:ascii="Cambria" w:hAnsi="Cambria"/>
        </w:rPr>
        <w:t xml:space="preserve"> Schwab account. In addition to commissions</w:t>
      </w:r>
      <w:r>
        <w:rPr>
          <w:rFonts w:ascii="Cambria" w:hAnsi="Cambria"/>
        </w:rPr>
        <w:t>,</w:t>
      </w:r>
      <w:r w:rsidRPr="006241A5">
        <w:rPr>
          <w:rFonts w:ascii="Cambria" w:hAnsi="Cambria"/>
        </w:rPr>
        <w:t xml:space="preserve"> Schwab charges a flat dollar amount as a “prime broker” or “trade away” fee for each trade that </w:t>
      </w:r>
      <w:r>
        <w:rPr>
          <w:rFonts w:ascii="Cambria" w:hAnsi="Cambria"/>
        </w:rPr>
        <w:t>our firm</w:t>
      </w:r>
      <w:r w:rsidRPr="006241A5">
        <w:rPr>
          <w:rFonts w:ascii="Cambria" w:hAnsi="Cambria"/>
        </w:rPr>
        <w:t xml:space="preserve"> ha</w:t>
      </w:r>
      <w:r>
        <w:rPr>
          <w:rFonts w:ascii="Cambria" w:hAnsi="Cambria"/>
        </w:rPr>
        <w:t>s</w:t>
      </w:r>
      <w:r w:rsidRPr="006241A5">
        <w:rPr>
          <w:rFonts w:ascii="Cambria" w:hAnsi="Cambria"/>
        </w:rPr>
        <w:t xml:space="preserve"> executed by a different broker-dealer but where the securities bought or the funds from the securities sold are deposited (settled) into </w:t>
      </w:r>
      <w:r>
        <w:rPr>
          <w:rFonts w:ascii="Cambria" w:hAnsi="Cambria"/>
        </w:rPr>
        <w:t>a</w:t>
      </w:r>
      <w:r w:rsidRPr="006241A5">
        <w:rPr>
          <w:rFonts w:ascii="Cambria" w:hAnsi="Cambria"/>
        </w:rPr>
        <w:t xml:space="preserve"> Schwab account.</w:t>
      </w:r>
      <w:r>
        <w:rPr>
          <w:rFonts w:ascii="Cambria" w:hAnsi="Cambria"/>
        </w:rPr>
        <w:t xml:space="preserve"> </w:t>
      </w:r>
      <w:r w:rsidRPr="006241A5">
        <w:rPr>
          <w:rFonts w:ascii="Cambria" w:hAnsi="Cambria"/>
        </w:rPr>
        <w:t>These fees are in addition to the commissions or other compensation pa</w:t>
      </w:r>
      <w:r>
        <w:rPr>
          <w:rFonts w:ascii="Cambria" w:hAnsi="Cambria"/>
        </w:rPr>
        <w:t>id to</w:t>
      </w:r>
      <w:r w:rsidRPr="006241A5">
        <w:rPr>
          <w:rFonts w:ascii="Cambria" w:hAnsi="Cambria"/>
        </w:rPr>
        <w:t xml:space="preserve"> the executing broker-dealer.</w:t>
      </w:r>
      <w:r>
        <w:rPr>
          <w:rFonts w:ascii="Cambria" w:hAnsi="Cambria"/>
        </w:rPr>
        <w:t xml:space="preserve"> </w:t>
      </w:r>
      <w:r w:rsidRPr="006241A5">
        <w:rPr>
          <w:rFonts w:ascii="Cambria" w:hAnsi="Cambria"/>
        </w:rPr>
        <w:t xml:space="preserve">Because of this, </w:t>
      </w:r>
      <w:proofErr w:type="gramStart"/>
      <w:r w:rsidRPr="006241A5">
        <w:rPr>
          <w:rFonts w:ascii="Cambria" w:hAnsi="Cambria"/>
        </w:rPr>
        <w:t>in order to</w:t>
      </w:r>
      <w:proofErr w:type="gramEnd"/>
      <w:r w:rsidRPr="006241A5">
        <w:rPr>
          <w:rFonts w:ascii="Cambria" w:hAnsi="Cambria"/>
        </w:rPr>
        <w:t xml:space="preserve"> minimize </w:t>
      </w:r>
      <w:r>
        <w:rPr>
          <w:rFonts w:ascii="Cambria" w:hAnsi="Cambria"/>
        </w:rPr>
        <w:t>client</w:t>
      </w:r>
      <w:r w:rsidRPr="006241A5">
        <w:rPr>
          <w:rFonts w:ascii="Cambria" w:hAnsi="Cambria"/>
        </w:rPr>
        <w:t xml:space="preserve"> trading costs, </w:t>
      </w:r>
      <w:r>
        <w:rPr>
          <w:rFonts w:ascii="Cambria" w:hAnsi="Cambria"/>
        </w:rPr>
        <w:t>our firm</w:t>
      </w:r>
      <w:r w:rsidRPr="006241A5">
        <w:rPr>
          <w:rFonts w:ascii="Cambria" w:hAnsi="Cambria"/>
        </w:rPr>
        <w:t xml:space="preserve"> ha</w:t>
      </w:r>
      <w:r>
        <w:rPr>
          <w:rFonts w:ascii="Cambria" w:hAnsi="Cambria"/>
        </w:rPr>
        <w:t>s</w:t>
      </w:r>
      <w:r w:rsidRPr="006241A5">
        <w:rPr>
          <w:rFonts w:ascii="Cambria" w:hAnsi="Cambria"/>
        </w:rPr>
        <w:t xml:space="preserve"> Schwab execute most trades for </w:t>
      </w:r>
      <w:r>
        <w:rPr>
          <w:rFonts w:ascii="Cambria" w:hAnsi="Cambria"/>
        </w:rPr>
        <w:t>the</w:t>
      </w:r>
      <w:r w:rsidRPr="006241A5">
        <w:rPr>
          <w:rFonts w:ascii="Cambria" w:hAnsi="Cambria"/>
        </w:rPr>
        <w:t xml:space="preserve"> account</w:t>
      </w:r>
      <w:r>
        <w:rPr>
          <w:rFonts w:ascii="Cambria" w:hAnsi="Cambria"/>
        </w:rPr>
        <w:t>s</w:t>
      </w:r>
      <w:r w:rsidRPr="006241A5">
        <w:rPr>
          <w:rFonts w:ascii="Cambria" w:hAnsi="Cambria"/>
        </w:rPr>
        <w:t>.</w:t>
      </w:r>
    </w:p>
    <w:bookmarkEnd w:id="31"/>
    <w:p w:rsidR="004402CB" w:rsidP="004402CB" w:rsidRDefault="004402CB" w14:paraId="5AF3CA4E" w14:textId="77777777">
      <w:pPr>
        <w:jc w:val="both"/>
        <w:rPr>
          <w:rFonts w:ascii="Cambria" w:hAnsi="Cambria"/>
        </w:rPr>
      </w:pPr>
    </w:p>
    <w:p w:rsidRPr="00433759" w:rsidR="004402CB" w:rsidP="004402CB" w:rsidRDefault="004402CB" w14:paraId="55A5014E" w14:textId="77777777">
      <w:pPr>
        <w:jc w:val="both"/>
        <w:rPr>
          <w:rFonts w:ascii="Cambria" w:hAnsi="Cambria"/>
          <w:b/>
        </w:rPr>
      </w:pPr>
      <w:bookmarkStart w:name="_Hlk496603020" w:id="32"/>
      <w:r w:rsidRPr="00433759">
        <w:rPr>
          <w:rFonts w:ascii="Cambria" w:hAnsi="Cambria"/>
          <w:b/>
        </w:rPr>
        <w:t xml:space="preserve">Products </w:t>
      </w:r>
      <w:r>
        <w:rPr>
          <w:rFonts w:ascii="Cambria" w:hAnsi="Cambria"/>
          <w:b/>
        </w:rPr>
        <w:t>&amp;</w:t>
      </w:r>
      <w:r w:rsidRPr="00433759">
        <w:rPr>
          <w:rFonts w:ascii="Cambria" w:hAnsi="Cambria"/>
          <w:b/>
        </w:rPr>
        <w:t xml:space="preserve"> Services Available from Schwab</w:t>
      </w:r>
    </w:p>
    <w:p w:rsidRPr="006241A5" w:rsidR="004402CB" w:rsidP="004402CB" w:rsidRDefault="004402CB" w14:paraId="362FE78D" w14:textId="77777777">
      <w:pPr>
        <w:jc w:val="both"/>
        <w:rPr>
          <w:rFonts w:ascii="Cambria" w:hAnsi="Cambria"/>
        </w:rPr>
      </w:pPr>
    </w:p>
    <w:p w:rsidR="004402CB" w:rsidP="004402CB" w:rsidRDefault="004402CB" w14:paraId="66D2DA5F" w14:textId="77777777">
      <w:pPr>
        <w:jc w:val="both"/>
        <w:rPr>
          <w:rFonts w:ascii="Cambria" w:hAnsi="Cambria"/>
        </w:rPr>
      </w:pPr>
      <w:r w:rsidRPr="006241A5">
        <w:rPr>
          <w:rFonts w:ascii="Cambria" w:hAnsi="Cambria"/>
        </w:rPr>
        <w:t xml:space="preserve">Schwab Advisor Services is Schwab’s business serving independent investment advisory firms like </w:t>
      </w:r>
      <w:r>
        <w:rPr>
          <w:rFonts w:ascii="Cambria" w:hAnsi="Cambria"/>
        </w:rPr>
        <w:t>our firm</w:t>
      </w:r>
      <w:r w:rsidRPr="006241A5">
        <w:rPr>
          <w:rFonts w:ascii="Cambria" w:hAnsi="Cambria"/>
        </w:rPr>
        <w:t xml:space="preserve">. They provide </w:t>
      </w:r>
      <w:r>
        <w:rPr>
          <w:rFonts w:ascii="Cambria" w:hAnsi="Cambria"/>
        </w:rPr>
        <w:t>our firm</w:t>
      </w:r>
      <w:r w:rsidRPr="006241A5">
        <w:rPr>
          <w:rFonts w:ascii="Cambria" w:hAnsi="Cambria"/>
        </w:rPr>
        <w:t xml:space="preserve"> and clients</w:t>
      </w:r>
      <w:r>
        <w:rPr>
          <w:rFonts w:ascii="Cambria" w:hAnsi="Cambria"/>
        </w:rPr>
        <w:t xml:space="preserve"> </w:t>
      </w:r>
      <w:r w:rsidRPr="006241A5">
        <w:rPr>
          <w:rFonts w:ascii="Cambria" w:hAnsi="Cambria"/>
        </w:rPr>
        <w:t>with access to its institutional brokerage – trading, custody, reporting and related services – many of which are not typically available to Schwab retail customers. Schwab also makes available various support services. Some of those services h</w:t>
      </w:r>
      <w:r w:rsidRPr="00366822">
        <w:rPr>
          <w:rFonts w:ascii="Cambria" w:hAnsi="Cambria"/>
        </w:rPr>
        <w:t>elp manage or administer our client accounts while others help manage and grow our business. Schwab’s support services are generally available on an unsolicited basis (our firm does not have to request them) and at no charge</w:t>
      </w:r>
      <w:r>
        <w:rPr>
          <w:rFonts w:ascii="Cambria" w:hAnsi="Cambria"/>
        </w:rPr>
        <w:t xml:space="preserve"> to our firm. The availability of Schwab’s products and services is not based on the provision of particular investment advice, such as purchasing </w:t>
      </w:r>
      <w:proofErr w:type="gramStart"/>
      <w:r>
        <w:rPr>
          <w:rFonts w:ascii="Cambria" w:hAnsi="Cambria"/>
        </w:rPr>
        <w:t>particular securities</w:t>
      </w:r>
      <w:proofErr w:type="gramEnd"/>
      <w:r>
        <w:rPr>
          <w:rFonts w:ascii="Cambria" w:hAnsi="Cambria"/>
        </w:rPr>
        <w:t xml:space="preserve"> for clients. </w:t>
      </w:r>
      <w:r w:rsidRPr="00366822">
        <w:rPr>
          <w:rFonts w:ascii="Cambria" w:hAnsi="Cambria"/>
        </w:rPr>
        <w:t>Here is a more detailed description of Schwab’s support services:</w:t>
      </w:r>
    </w:p>
    <w:bookmarkEnd w:id="32"/>
    <w:p w:rsidR="004402CB" w:rsidP="004402CB" w:rsidRDefault="004402CB" w14:paraId="421059A9" w14:textId="58F08C18">
      <w:pPr>
        <w:jc w:val="both"/>
        <w:rPr>
          <w:rFonts w:ascii="Cambria" w:hAnsi="Cambria"/>
        </w:rPr>
      </w:pPr>
    </w:p>
    <w:p w:rsidRPr="006241A5" w:rsidR="005B7199" w:rsidP="004402CB" w:rsidRDefault="005B7199" w14:paraId="1F3B650A" w14:textId="77777777">
      <w:pPr>
        <w:jc w:val="both"/>
        <w:rPr>
          <w:rFonts w:ascii="Cambria" w:hAnsi="Cambria"/>
        </w:rPr>
      </w:pPr>
    </w:p>
    <w:p w:rsidR="004402CB" w:rsidP="004402CB" w:rsidRDefault="004402CB" w14:paraId="084C787F" w14:textId="3DD6D41B">
      <w:pPr>
        <w:jc w:val="both"/>
        <w:rPr>
          <w:rFonts w:ascii="Cambria" w:hAnsi="Cambria"/>
          <w:b/>
        </w:rPr>
      </w:pPr>
      <w:bookmarkStart w:name="_Hlk496603074" w:id="33"/>
      <w:r w:rsidRPr="006241A5">
        <w:rPr>
          <w:rFonts w:ascii="Cambria" w:hAnsi="Cambria"/>
          <w:b/>
        </w:rPr>
        <w:lastRenderedPageBreak/>
        <w:t>Services</w:t>
      </w:r>
      <w:r>
        <w:rPr>
          <w:rFonts w:ascii="Cambria" w:hAnsi="Cambria"/>
          <w:b/>
        </w:rPr>
        <w:t xml:space="preserve"> </w:t>
      </w:r>
      <w:r w:rsidRPr="006241A5">
        <w:rPr>
          <w:rFonts w:ascii="Cambria" w:hAnsi="Cambria"/>
          <w:b/>
        </w:rPr>
        <w:t>that</w:t>
      </w:r>
      <w:r>
        <w:rPr>
          <w:rFonts w:ascii="Cambria" w:hAnsi="Cambria"/>
          <w:b/>
        </w:rPr>
        <w:t xml:space="preserve"> </w:t>
      </w:r>
      <w:r w:rsidRPr="006241A5">
        <w:rPr>
          <w:rFonts w:ascii="Cambria" w:hAnsi="Cambria"/>
          <w:b/>
        </w:rPr>
        <w:t>Benefit</w:t>
      </w:r>
      <w:r>
        <w:rPr>
          <w:rFonts w:ascii="Cambria" w:hAnsi="Cambria"/>
          <w:b/>
        </w:rPr>
        <w:t xml:space="preserve"> Clients</w:t>
      </w:r>
    </w:p>
    <w:p w:rsidRPr="006241A5" w:rsidR="00485F42" w:rsidP="004402CB" w:rsidRDefault="00485F42" w14:paraId="7593F7F5" w14:textId="77777777">
      <w:pPr>
        <w:jc w:val="both"/>
        <w:rPr>
          <w:rFonts w:ascii="Cambria" w:hAnsi="Cambria"/>
          <w:b/>
        </w:rPr>
      </w:pPr>
    </w:p>
    <w:p w:rsidR="004402CB" w:rsidP="004402CB" w:rsidRDefault="004402CB" w14:paraId="2D0F5433" w14:textId="766D5902">
      <w:pPr>
        <w:jc w:val="both"/>
        <w:rPr>
          <w:rFonts w:ascii="Cambria" w:hAnsi="Cambria"/>
        </w:rPr>
      </w:pPr>
      <w:r w:rsidRPr="006241A5">
        <w:rPr>
          <w:rFonts w:ascii="Cambria" w:hAnsi="Cambria"/>
        </w:rPr>
        <w:t>Schwab’s</w:t>
      </w:r>
      <w:r>
        <w:rPr>
          <w:rFonts w:ascii="Cambria" w:hAnsi="Cambria"/>
        </w:rPr>
        <w:t xml:space="preserve"> </w:t>
      </w:r>
      <w:r w:rsidRPr="006241A5">
        <w:rPr>
          <w:rFonts w:ascii="Cambria" w:hAnsi="Cambria"/>
        </w:rPr>
        <w:t>institutional</w:t>
      </w:r>
      <w:r>
        <w:rPr>
          <w:rFonts w:ascii="Cambria" w:hAnsi="Cambria"/>
        </w:rPr>
        <w:t xml:space="preserve"> </w:t>
      </w:r>
      <w:r w:rsidRPr="006241A5">
        <w:rPr>
          <w:rFonts w:ascii="Cambria" w:hAnsi="Cambria"/>
        </w:rPr>
        <w:t>brokerage services include</w:t>
      </w:r>
      <w:r>
        <w:rPr>
          <w:rFonts w:ascii="Cambria" w:hAnsi="Cambria"/>
        </w:rPr>
        <w:t xml:space="preserve"> </w:t>
      </w:r>
      <w:r w:rsidRPr="006241A5">
        <w:rPr>
          <w:rFonts w:ascii="Cambria" w:hAnsi="Cambria"/>
        </w:rPr>
        <w:t>access</w:t>
      </w:r>
      <w:r>
        <w:rPr>
          <w:rFonts w:ascii="Cambria" w:hAnsi="Cambria"/>
        </w:rPr>
        <w:t xml:space="preserve"> </w:t>
      </w:r>
      <w:r w:rsidRPr="006241A5">
        <w:rPr>
          <w:rFonts w:ascii="Cambria" w:hAnsi="Cambria"/>
        </w:rPr>
        <w:t>to a</w:t>
      </w:r>
      <w:r>
        <w:rPr>
          <w:rFonts w:ascii="Cambria" w:hAnsi="Cambria"/>
        </w:rPr>
        <w:t xml:space="preserve"> </w:t>
      </w:r>
      <w:r w:rsidRPr="006241A5">
        <w:rPr>
          <w:rFonts w:ascii="Cambria" w:hAnsi="Cambria"/>
        </w:rPr>
        <w:t>broad</w:t>
      </w:r>
      <w:r>
        <w:rPr>
          <w:rFonts w:ascii="Cambria" w:hAnsi="Cambria"/>
        </w:rPr>
        <w:t xml:space="preserve"> </w:t>
      </w:r>
      <w:r w:rsidRPr="006241A5">
        <w:rPr>
          <w:rFonts w:ascii="Cambria" w:hAnsi="Cambria"/>
        </w:rPr>
        <w:t>range of</w:t>
      </w:r>
      <w:r>
        <w:rPr>
          <w:rFonts w:ascii="Cambria" w:hAnsi="Cambria"/>
        </w:rPr>
        <w:t xml:space="preserve"> </w:t>
      </w:r>
      <w:r w:rsidRPr="006241A5">
        <w:rPr>
          <w:rFonts w:ascii="Cambria" w:hAnsi="Cambria"/>
        </w:rPr>
        <w:t xml:space="preserve">investment products, execution of securities transactions, and custody of client assets. The investment products available through Schwab include some to which </w:t>
      </w:r>
      <w:r>
        <w:rPr>
          <w:rFonts w:ascii="Cambria" w:hAnsi="Cambria"/>
        </w:rPr>
        <w:t>our firm</w:t>
      </w:r>
      <w:r w:rsidRPr="006241A5">
        <w:rPr>
          <w:rFonts w:ascii="Cambria" w:hAnsi="Cambria"/>
        </w:rPr>
        <w:t xml:space="preserve"> might not otherwise have access or that would require a significantly higher minimum initial investment by </w:t>
      </w:r>
      <w:r>
        <w:rPr>
          <w:rFonts w:ascii="Cambria" w:hAnsi="Cambria"/>
        </w:rPr>
        <w:t>firm</w:t>
      </w:r>
      <w:r w:rsidRPr="006241A5">
        <w:rPr>
          <w:rFonts w:ascii="Cambria" w:hAnsi="Cambria"/>
        </w:rPr>
        <w:t xml:space="preserve"> clients. Schwab’s services described in this paragraph generally benefit </w:t>
      </w:r>
      <w:r>
        <w:rPr>
          <w:rFonts w:ascii="Cambria" w:hAnsi="Cambria"/>
        </w:rPr>
        <w:t>clients and their accounts.</w:t>
      </w:r>
    </w:p>
    <w:bookmarkEnd w:id="33"/>
    <w:p w:rsidRPr="006241A5" w:rsidR="004402CB" w:rsidP="004402CB" w:rsidRDefault="004402CB" w14:paraId="401DEC7D" w14:textId="77777777">
      <w:pPr>
        <w:jc w:val="both"/>
        <w:rPr>
          <w:rFonts w:ascii="Cambria" w:hAnsi="Cambria"/>
        </w:rPr>
      </w:pPr>
    </w:p>
    <w:p w:rsidRPr="006241A5" w:rsidR="004402CB" w:rsidP="004402CB" w:rsidRDefault="004402CB" w14:paraId="57064795" w14:textId="77777777">
      <w:pPr>
        <w:jc w:val="both"/>
        <w:rPr>
          <w:rFonts w:ascii="Cambria" w:hAnsi="Cambria"/>
          <w:b/>
        </w:rPr>
      </w:pPr>
      <w:r w:rsidRPr="006241A5">
        <w:rPr>
          <w:rFonts w:ascii="Cambria" w:hAnsi="Cambria"/>
          <w:b/>
        </w:rPr>
        <w:t>Services that May Not Directly Benefit</w:t>
      </w:r>
      <w:r>
        <w:rPr>
          <w:rFonts w:ascii="Cambria" w:hAnsi="Cambria"/>
          <w:b/>
        </w:rPr>
        <w:t xml:space="preserve"> Clients</w:t>
      </w:r>
      <w:r w:rsidRPr="006241A5">
        <w:rPr>
          <w:rFonts w:ascii="Cambria" w:hAnsi="Cambria"/>
          <w:b/>
        </w:rPr>
        <w:t xml:space="preserve"> </w:t>
      </w:r>
    </w:p>
    <w:p w:rsidR="004402CB" w:rsidP="004402CB" w:rsidRDefault="004402CB" w14:paraId="26F5069B" w14:textId="77777777">
      <w:pPr>
        <w:jc w:val="both"/>
        <w:rPr>
          <w:rFonts w:ascii="Cambria" w:hAnsi="Cambria"/>
        </w:rPr>
      </w:pPr>
    </w:p>
    <w:p w:rsidR="004402CB" w:rsidP="004402CB" w:rsidRDefault="004402CB" w14:paraId="210B3C3B" w14:textId="77777777">
      <w:pPr>
        <w:jc w:val="both"/>
        <w:rPr>
          <w:rFonts w:ascii="Cambria" w:hAnsi="Cambria"/>
        </w:rPr>
      </w:pPr>
      <w:r w:rsidRPr="006241A5">
        <w:rPr>
          <w:rFonts w:ascii="Cambria" w:hAnsi="Cambria"/>
        </w:rPr>
        <w:t xml:space="preserve">Schwab </w:t>
      </w:r>
      <w:r>
        <w:rPr>
          <w:rFonts w:ascii="Cambria" w:hAnsi="Cambria"/>
        </w:rPr>
        <w:t xml:space="preserve">also makes available </w:t>
      </w:r>
      <w:r w:rsidRPr="006241A5">
        <w:rPr>
          <w:rFonts w:ascii="Cambria" w:hAnsi="Cambria"/>
        </w:rPr>
        <w:t xml:space="preserve">other products and services that benefit </w:t>
      </w:r>
      <w:r>
        <w:rPr>
          <w:rFonts w:ascii="Cambria" w:hAnsi="Cambria"/>
        </w:rPr>
        <w:t>our firm</w:t>
      </w:r>
      <w:r w:rsidRPr="006241A5">
        <w:rPr>
          <w:rFonts w:ascii="Cambria" w:hAnsi="Cambria"/>
        </w:rPr>
        <w:t xml:space="preserve"> but may not directly benefit </w:t>
      </w:r>
      <w:r>
        <w:rPr>
          <w:rFonts w:ascii="Cambria" w:hAnsi="Cambria"/>
        </w:rPr>
        <w:t>clients or their</w:t>
      </w:r>
      <w:r w:rsidRPr="006241A5">
        <w:rPr>
          <w:rFonts w:ascii="Cambria" w:hAnsi="Cambria"/>
        </w:rPr>
        <w:t xml:space="preserve"> account</w:t>
      </w:r>
      <w:r>
        <w:rPr>
          <w:rFonts w:ascii="Cambria" w:hAnsi="Cambria"/>
        </w:rPr>
        <w:t>s</w:t>
      </w:r>
      <w:r w:rsidRPr="006241A5">
        <w:rPr>
          <w:rFonts w:ascii="Cambria" w:hAnsi="Cambria"/>
        </w:rPr>
        <w:t xml:space="preserve">. These products and services assist in managing and administering our client accounts. They include investment research, both Schwab’s and that of third parties. </w:t>
      </w:r>
      <w:r>
        <w:rPr>
          <w:rFonts w:ascii="Cambria" w:hAnsi="Cambria"/>
        </w:rPr>
        <w:t>This r</w:t>
      </w:r>
      <w:r w:rsidRPr="006241A5">
        <w:rPr>
          <w:rFonts w:ascii="Cambria" w:hAnsi="Cambria"/>
        </w:rPr>
        <w:t>esearch</w:t>
      </w:r>
      <w:r>
        <w:rPr>
          <w:rFonts w:ascii="Cambria" w:hAnsi="Cambria"/>
        </w:rPr>
        <w:t xml:space="preserve"> may be used</w:t>
      </w:r>
      <w:r w:rsidRPr="006241A5">
        <w:rPr>
          <w:rFonts w:ascii="Cambria" w:hAnsi="Cambria"/>
        </w:rPr>
        <w:t xml:space="preserve"> to service all or some substantial number of </w:t>
      </w:r>
      <w:r>
        <w:rPr>
          <w:rFonts w:ascii="Cambria" w:hAnsi="Cambria"/>
        </w:rPr>
        <w:t>client</w:t>
      </w:r>
      <w:r w:rsidRPr="006241A5">
        <w:rPr>
          <w:rFonts w:ascii="Cambria" w:hAnsi="Cambria"/>
        </w:rPr>
        <w:t xml:space="preserve"> accounts, including accounts not maintained at Schwab.</w:t>
      </w:r>
      <w:r>
        <w:rPr>
          <w:rFonts w:ascii="Cambria" w:hAnsi="Cambria"/>
        </w:rPr>
        <w:t xml:space="preserve"> </w:t>
      </w:r>
      <w:r w:rsidRPr="006241A5">
        <w:rPr>
          <w:rFonts w:ascii="Cambria" w:hAnsi="Cambria"/>
        </w:rPr>
        <w:t>In addition to investment research, Schwab also makes available software and other technology that:</w:t>
      </w:r>
    </w:p>
    <w:p w:rsidRPr="006241A5" w:rsidR="004402CB" w:rsidP="004402CB" w:rsidRDefault="004402CB" w14:paraId="471267B1" w14:textId="77777777">
      <w:pPr>
        <w:pStyle w:val="ListParagraph"/>
        <w:numPr>
          <w:ilvl w:val="0"/>
          <w:numId w:val="28"/>
        </w:numPr>
        <w:contextualSpacing/>
        <w:jc w:val="both"/>
        <w:rPr>
          <w:rFonts w:ascii="Cambria" w:hAnsi="Cambria"/>
        </w:rPr>
      </w:pPr>
      <w:r w:rsidRPr="006241A5">
        <w:rPr>
          <w:rFonts w:ascii="Cambria" w:hAnsi="Cambria"/>
        </w:rPr>
        <w:t>provide</w:t>
      </w:r>
      <w:r>
        <w:rPr>
          <w:rFonts w:ascii="Cambria" w:hAnsi="Cambria"/>
        </w:rPr>
        <w:t>s</w:t>
      </w:r>
      <w:r w:rsidRPr="006241A5">
        <w:rPr>
          <w:rFonts w:ascii="Cambria" w:hAnsi="Cambria"/>
        </w:rPr>
        <w:t xml:space="preserve"> access to client account data (such as duplicate trade confirmations and account statements</w:t>
      </w:r>
      <w:proofErr w:type="gramStart"/>
      <w:r w:rsidRPr="006241A5">
        <w:rPr>
          <w:rFonts w:ascii="Cambria" w:hAnsi="Cambria"/>
        </w:rPr>
        <w:t>);</w:t>
      </w:r>
      <w:proofErr w:type="gramEnd"/>
    </w:p>
    <w:p w:rsidRPr="006241A5" w:rsidR="004402CB" w:rsidP="004402CB" w:rsidRDefault="004402CB" w14:paraId="2820DD59" w14:textId="77777777">
      <w:pPr>
        <w:pStyle w:val="ListParagraph"/>
        <w:numPr>
          <w:ilvl w:val="0"/>
          <w:numId w:val="28"/>
        </w:numPr>
        <w:contextualSpacing/>
        <w:jc w:val="both"/>
        <w:rPr>
          <w:rFonts w:ascii="Cambria" w:hAnsi="Cambria"/>
        </w:rPr>
      </w:pPr>
      <w:r w:rsidRPr="006241A5">
        <w:rPr>
          <w:rFonts w:ascii="Cambria" w:hAnsi="Cambria"/>
        </w:rPr>
        <w:t>facilitate</w:t>
      </w:r>
      <w:r>
        <w:rPr>
          <w:rFonts w:ascii="Cambria" w:hAnsi="Cambria"/>
        </w:rPr>
        <w:t>s</w:t>
      </w:r>
      <w:r w:rsidRPr="006241A5">
        <w:rPr>
          <w:rFonts w:ascii="Cambria" w:hAnsi="Cambria"/>
        </w:rPr>
        <w:t xml:space="preserve"> trade execution and allocate aggregated trade orders for multiple client </w:t>
      </w:r>
      <w:proofErr w:type="gramStart"/>
      <w:r w:rsidRPr="006241A5">
        <w:rPr>
          <w:rFonts w:ascii="Cambria" w:hAnsi="Cambria"/>
        </w:rPr>
        <w:t>accounts;</w:t>
      </w:r>
      <w:proofErr w:type="gramEnd"/>
    </w:p>
    <w:p w:rsidRPr="006241A5" w:rsidR="004402CB" w:rsidP="004402CB" w:rsidRDefault="004402CB" w14:paraId="0FD87654" w14:textId="77777777">
      <w:pPr>
        <w:pStyle w:val="ListParagraph"/>
        <w:numPr>
          <w:ilvl w:val="0"/>
          <w:numId w:val="28"/>
        </w:numPr>
        <w:contextualSpacing/>
        <w:jc w:val="both"/>
        <w:rPr>
          <w:rFonts w:ascii="Cambria" w:hAnsi="Cambria"/>
        </w:rPr>
      </w:pPr>
      <w:r w:rsidRPr="006241A5">
        <w:rPr>
          <w:rFonts w:ascii="Cambria" w:hAnsi="Cambria"/>
        </w:rPr>
        <w:t>provide</w:t>
      </w:r>
      <w:r>
        <w:rPr>
          <w:rFonts w:ascii="Cambria" w:hAnsi="Cambria"/>
        </w:rPr>
        <w:t>s</w:t>
      </w:r>
      <w:r w:rsidRPr="006241A5">
        <w:rPr>
          <w:rFonts w:ascii="Cambria" w:hAnsi="Cambria"/>
        </w:rPr>
        <w:t xml:space="preserve"> pricing and other market </w:t>
      </w:r>
      <w:proofErr w:type="gramStart"/>
      <w:r w:rsidRPr="006241A5">
        <w:rPr>
          <w:rFonts w:ascii="Cambria" w:hAnsi="Cambria"/>
        </w:rPr>
        <w:t>data;</w:t>
      </w:r>
      <w:proofErr w:type="gramEnd"/>
    </w:p>
    <w:p w:rsidRPr="006241A5" w:rsidR="004402CB" w:rsidP="004402CB" w:rsidRDefault="004402CB" w14:paraId="7E402391" w14:textId="77777777">
      <w:pPr>
        <w:pStyle w:val="ListParagraph"/>
        <w:numPr>
          <w:ilvl w:val="0"/>
          <w:numId w:val="28"/>
        </w:numPr>
        <w:contextualSpacing/>
        <w:jc w:val="both"/>
        <w:rPr>
          <w:rFonts w:ascii="Cambria" w:hAnsi="Cambria"/>
        </w:rPr>
      </w:pPr>
      <w:r w:rsidRPr="006241A5">
        <w:rPr>
          <w:rFonts w:ascii="Cambria" w:hAnsi="Cambria"/>
        </w:rPr>
        <w:t>facilitate</w:t>
      </w:r>
      <w:r>
        <w:rPr>
          <w:rFonts w:ascii="Cambria" w:hAnsi="Cambria"/>
        </w:rPr>
        <w:t>s</w:t>
      </w:r>
      <w:r w:rsidRPr="006241A5">
        <w:rPr>
          <w:rFonts w:ascii="Cambria" w:hAnsi="Cambria"/>
        </w:rPr>
        <w:t xml:space="preserve"> payment of our fees from our clients’ accounts; and</w:t>
      </w:r>
    </w:p>
    <w:p w:rsidRPr="006241A5" w:rsidR="004402CB" w:rsidP="004402CB" w:rsidRDefault="004402CB" w14:paraId="7DA17492" w14:textId="77777777">
      <w:pPr>
        <w:pStyle w:val="ListParagraph"/>
        <w:numPr>
          <w:ilvl w:val="0"/>
          <w:numId w:val="28"/>
        </w:numPr>
        <w:contextualSpacing/>
        <w:jc w:val="both"/>
        <w:rPr>
          <w:rFonts w:ascii="Cambria" w:hAnsi="Cambria"/>
        </w:rPr>
      </w:pPr>
      <w:r w:rsidRPr="006241A5">
        <w:rPr>
          <w:rFonts w:ascii="Cambria" w:hAnsi="Cambria"/>
        </w:rPr>
        <w:t>assist</w:t>
      </w:r>
      <w:r>
        <w:rPr>
          <w:rFonts w:ascii="Cambria" w:hAnsi="Cambria"/>
        </w:rPr>
        <w:t>s</w:t>
      </w:r>
      <w:r w:rsidRPr="006241A5">
        <w:rPr>
          <w:rFonts w:ascii="Cambria" w:hAnsi="Cambria"/>
        </w:rPr>
        <w:t xml:space="preserve"> with back-office functions, recordkeeping and client reporting.</w:t>
      </w:r>
    </w:p>
    <w:p w:rsidR="004402CB" w:rsidP="004402CB" w:rsidRDefault="004402CB" w14:paraId="360211D5" w14:textId="77777777">
      <w:pPr>
        <w:jc w:val="both"/>
        <w:rPr>
          <w:rFonts w:ascii="Cambria" w:hAnsi="Cambria"/>
          <w:b/>
        </w:rPr>
      </w:pPr>
    </w:p>
    <w:p w:rsidRPr="006241A5" w:rsidR="004402CB" w:rsidP="004402CB" w:rsidRDefault="004402CB" w14:paraId="0872D78C" w14:textId="77777777">
      <w:pPr>
        <w:jc w:val="both"/>
        <w:rPr>
          <w:rFonts w:ascii="Cambria" w:hAnsi="Cambria"/>
          <w:b/>
        </w:rPr>
      </w:pPr>
      <w:r w:rsidRPr="006241A5">
        <w:rPr>
          <w:rFonts w:ascii="Cambria" w:hAnsi="Cambria"/>
          <w:b/>
        </w:rPr>
        <w:t xml:space="preserve">Services that Generally Benefit Only </w:t>
      </w:r>
      <w:r>
        <w:rPr>
          <w:rFonts w:ascii="Cambria" w:hAnsi="Cambria"/>
          <w:b/>
        </w:rPr>
        <w:t>Our Firm</w:t>
      </w:r>
      <w:r w:rsidRPr="006241A5">
        <w:rPr>
          <w:rFonts w:ascii="Cambria" w:hAnsi="Cambria"/>
          <w:b/>
        </w:rPr>
        <w:t xml:space="preserve"> </w:t>
      </w:r>
    </w:p>
    <w:p w:rsidR="004402CB" w:rsidP="004402CB" w:rsidRDefault="004402CB" w14:paraId="38C3CE0E" w14:textId="77777777">
      <w:pPr>
        <w:jc w:val="both"/>
        <w:rPr>
          <w:rFonts w:ascii="Cambria" w:hAnsi="Cambria"/>
        </w:rPr>
      </w:pPr>
    </w:p>
    <w:p w:rsidRPr="006241A5" w:rsidR="004402CB" w:rsidP="004402CB" w:rsidRDefault="004402CB" w14:paraId="4AC4D1C4" w14:textId="77777777">
      <w:pPr>
        <w:jc w:val="both"/>
        <w:rPr>
          <w:rFonts w:ascii="Cambria" w:hAnsi="Cambria"/>
        </w:rPr>
      </w:pPr>
      <w:r w:rsidRPr="006241A5">
        <w:rPr>
          <w:rFonts w:ascii="Cambria" w:hAnsi="Cambria"/>
        </w:rPr>
        <w:t>Schwab also offers other services intended to help manage and further develop our business enterprise. These services include:</w:t>
      </w:r>
    </w:p>
    <w:p w:rsidRPr="006241A5" w:rsidR="004402CB" w:rsidP="004402CB" w:rsidRDefault="004402CB" w14:paraId="7BB02E81" w14:textId="77777777">
      <w:pPr>
        <w:pStyle w:val="ListParagraph"/>
        <w:numPr>
          <w:ilvl w:val="0"/>
          <w:numId w:val="29"/>
        </w:numPr>
        <w:contextualSpacing/>
        <w:jc w:val="both"/>
        <w:rPr>
          <w:rFonts w:ascii="Cambria" w:hAnsi="Cambria"/>
        </w:rPr>
      </w:pPr>
      <w:r w:rsidRPr="006241A5">
        <w:rPr>
          <w:rFonts w:ascii="Cambria" w:hAnsi="Cambria"/>
        </w:rPr>
        <w:t>educational conferences and events</w:t>
      </w:r>
    </w:p>
    <w:p w:rsidRPr="006241A5" w:rsidR="004402CB" w:rsidP="004402CB" w:rsidRDefault="004402CB" w14:paraId="30F5170E" w14:textId="77777777">
      <w:pPr>
        <w:pStyle w:val="ListParagraph"/>
        <w:numPr>
          <w:ilvl w:val="0"/>
          <w:numId w:val="29"/>
        </w:numPr>
        <w:contextualSpacing/>
        <w:jc w:val="both"/>
        <w:rPr>
          <w:rFonts w:ascii="Cambria" w:hAnsi="Cambria"/>
        </w:rPr>
      </w:pPr>
      <w:r w:rsidRPr="006241A5">
        <w:rPr>
          <w:rFonts w:ascii="Cambria" w:hAnsi="Cambria"/>
        </w:rPr>
        <w:t xml:space="preserve">technology, compliance, legal, and business </w:t>
      </w:r>
      <w:proofErr w:type="gramStart"/>
      <w:r w:rsidRPr="006241A5">
        <w:rPr>
          <w:rFonts w:ascii="Cambria" w:hAnsi="Cambria"/>
        </w:rPr>
        <w:t>consulting;</w:t>
      </w:r>
      <w:proofErr w:type="gramEnd"/>
    </w:p>
    <w:p w:rsidRPr="006241A5" w:rsidR="004402CB" w:rsidP="004402CB" w:rsidRDefault="004402CB" w14:paraId="4582483B" w14:textId="77777777">
      <w:pPr>
        <w:pStyle w:val="ListParagraph"/>
        <w:numPr>
          <w:ilvl w:val="0"/>
          <w:numId w:val="29"/>
        </w:numPr>
        <w:contextualSpacing/>
        <w:jc w:val="both"/>
        <w:rPr>
          <w:rFonts w:ascii="Cambria" w:hAnsi="Cambria"/>
        </w:rPr>
      </w:pPr>
      <w:r w:rsidRPr="006241A5">
        <w:rPr>
          <w:rFonts w:ascii="Cambria" w:hAnsi="Cambria"/>
        </w:rPr>
        <w:t>publications and conferences on practice management and business succession; and</w:t>
      </w:r>
    </w:p>
    <w:p w:rsidRPr="006241A5" w:rsidR="004402CB" w:rsidP="004402CB" w:rsidRDefault="004402CB" w14:paraId="3219D899" w14:textId="77777777">
      <w:pPr>
        <w:pStyle w:val="ListParagraph"/>
        <w:numPr>
          <w:ilvl w:val="0"/>
          <w:numId w:val="29"/>
        </w:numPr>
        <w:contextualSpacing/>
        <w:jc w:val="both"/>
        <w:rPr>
          <w:rFonts w:ascii="Cambria" w:hAnsi="Cambria"/>
        </w:rPr>
      </w:pPr>
      <w:r w:rsidRPr="006241A5">
        <w:rPr>
          <w:rFonts w:ascii="Cambria" w:hAnsi="Cambria"/>
        </w:rPr>
        <w:t>access to employee benefits providers, human capital consultants and insurance providers.</w:t>
      </w:r>
    </w:p>
    <w:p w:rsidR="004402CB" w:rsidP="004402CB" w:rsidRDefault="004402CB" w14:paraId="24974544" w14:textId="77777777">
      <w:pPr>
        <w:jc w:val="both"/>
        <w:rPr>
          <w:rFonts w:ascii="Cambria" w:hAnsi="Cambria"/>
        </w:rPr>
      </w:pPr>
    </w:p>
    <w:p w:rsidR="004402CB" w:rsidP="004402CB" w:rsidRDefault="004402CB" w14:paraId="5A4919D1" w14:textId="77777777">
      <w:pPr>
        <w:jc w:val="both"/>
        <w:rPr>
          <w:rFonts w:ascii="Cambria" w:hAnsi="Cambria"/>
        </w:rPr>
      </w:pPr>
      <w:r w:rsidRPr="006241A5">
        <w:rPr>
          <w:rFonts w:ascii="Cambria" w:hAnsi="Cambria"/>
        </w:rPr>
        <w:t xml:space="preserve">Schwab may provide some of these services itself. In other cases, </w:t>
      </w:r>
      <w:r>
        <w:rPr>
          <w:rFonts w:ascii="Cambria" w:hAnsi="Cambria"/>
        </w:rPr>
        <w:t>Schwab</w:t>
      </w:r>
      <w:r w:rsidRPr="006241A5">
        <w:rPr>
          <w:rFonts w:ascii="Cambria" w:hAnsi="Cambria"/>
        </w:rPr>
        <w:t xml:space="preserve"> will arrange for third-party vendors to provide the services to </w:t>
      </w:r>
      <w:r>
        <w:rPr>
          <w:rFonts w:ascii="Cambria" w:hAnsi="Cambria"/>
        </w:rPr>
        <w:t>our firm</w:t>
      </w:r>
      <w:r w:rsidRPr="006241A5">
        <w:rPr>
          <w:rFonts w:ascii="Cambria" w:hAnsi="Cambria"/>
        </w:rPr>
        <w:t xml:space="preserve">. Schwab may also discount or waive fees for some of these services or pay all or a part of a third party’s fees. Schwab may also provide </w:t>
      </w:r>
      <w:r>
        <w:rPr>
          <w:rFonts w:ascii="Cambria" w:hAnsi="Cambria"/>
        </w:rPr>
        <w:t>our firm</w:t>
      </w:r>
      <w:r w:rsidRPr="006241A5">
        <w:rPr>
          <w:rFonts w:ascii="Cambria" w:hAnsi="Cambria"/>
        </w:rPr>
        <w:t xml:space="preserve"> with other benefits</w:t>
      </w:r>
      <w:r>
        <w:rPr>
          <w:rFonts w:ascii="Cambria" w:hAnsi="Cambria"/>
        </w:rPr>
        <w:t>,</w:t>
      </w:r>
      <w:r w:rsidRPr="006241A5">
        <w:rPr>
          <w:rFonts w:ascii="Cambria" w:hAnsi="Cambria"/>
        </w:rPr>
        <w:t xml:space="preserve"> such as occasional business entertainment </w:t>
      </w:r>
      <w:r>
        <w:rPr>
          <w:rFonts w:ascii="Cambria" w:hAnsi="Cambria"/>
        </w:rPr>
        <w:t>for</w:t>
      </w:r>
      <w:r w:rsidRPr="006241A5">
        <w:rPr>
          <w:rFonts w:ascii="Cambria" w:hAnsi="Cambria"/>
        </w:rPr>
        <w:t xml:space="preserve"> our personnel.</w:t>
      </w:r>
    </w:p>
    <w:p w:rsidRPr="006241A5" w:rsidR="004402CB" w:rsidP="004402CB" w:rsidRDefault="004402CB" w14:paraId="41705825" w14:textId="77777777">
      <w:pPr>
        <w:jc w:val="both"/>
        <w:rPr>
          <w:rFonts w:ascii="Cambria" w:hAnsi="Cambria"/>
        </w:rPr>
      </w:pPr>
    </w:p>
    <w:p w:rsidR="004402CB" w:rsidP="004402CB" w:rsidRDefault="004402CB" w14:paraId="0DF24887" w14:textId="77777777">
      <w:pPr>
        <w:jc w:val="both"/>
        <w:rPr>
          <w:rFonts w:ascii="Cambria" w:hAnsi="Cambria"/>
        </w:rPr>
      </w:pPr>
      <w:r w:rsidRPr="006241A5">
        <w:rPr>
          <w:rFonts w:ascii="Cambria" w:hAnsi="Cambria"/>
        </w:rPr>
        <w:t xml:space="preserve">Irrespective of direct or indirect benefits to our client through Schwab, </w:t>
      </w:r>
      <w:r>
        <w:rPr>
          <w:rFonts w:ascii="Cambria" w:hAnsi="Cambria"/>
        </w:rPr>
        <w:t>our firm</w:t>
      </w:r>
      <w:r w:rsidRPr="006241A5">
        <w:rPr>
          <w:rFonts w:ascii="Cambria" w:hAnsi="Cambria"/>
        </w:rPr>
        <w:t xml:space="preserve"> strive</w:t>
      </w:r>
      <w:r>
        <w:rPr>
          <w:rFonts w:ascii="Cambria" w:hAnsi="Cambria"/>
        </w:rPr>
        <w:t>s</w:t>
      </w:r>
      <w:r w:rsidRPr="006241A5">
        <w:rPr>
          <w:rFonts w:ascii="Cambria" w:hAnsi="Cambria"/>
        </w:rPr>
        <w:t xml:space="preserve"> to enhance </w:t>
      </w:r>
      <w:r>
        <w:rPr>
          <w:rFonts w:ascii="Cambria" w:hAnsi="Cambria"/>
        </w:rPr>
        <w:t>the client</w:t>
      </w:r>
      <w:r w:rsidRPr="006241A5">
        <w:rPr>
          <w:rFonts w:ascii="Cambria" w:hAnsi="Cambria"/>
        </w:rPr>
        <w:t xml:space="preserve"> experience, help </w:t>
      </w:r>
      <w:r>
        <w:rPr>
          <w:rFonts w:ascii="Cambria" w:hAnsi="Cambria"/>
        </w:rPr>
        <w:t>clients</w:t>
      </w:r>
      <w:r w:rsidRPr="006241A5">
        <w:rPr>
          <w:rFonts w:ascii="Cambria" w:hAnsi="Cambria"/>
        </w:rPr>
        <w:t xml:space="preserve"> reach </w:t>
      </w:r>
      <w:r>
        <w:rPr>
          <w:rFonts w:ascii="Cambria" w:hAnsi="Cambria"/>
        </w:rPr>
        <w:t>their</w:t>
      </w:r>
      <w:r w:rsidRPr="006241A5">
        <w:rPr>
          <w:rFonts w:ascii="Cambria" w:hAnsi="Cambria"/>
        </w:rPr>
        <w:t xml:space="preserve"> goals and put </w:t>
      </w:r>
      <w:r>
        <w:rPr>
          <w:rFonts w:ascii="Cambria" w:hAnsi="Cambria"/>
        </w:rPr>
        <w:t>client</w:t>
      </w:r>
      <w:r w:rsidRPr="006241A5">
        <w:rPr>
          <w:rFonts w:ascii="Cambria" w:hAnsi="Cambria"/>
        </w:rPr>
        <w:t xml:space="preserve"> interests before that of our firm or associated persons.</w:t>
      </w:r>
    </w:p>
    <w:p w:rsidRPr="006241A5" w:rsidR="004402CB" w:rsidP="004402CB" w:rsidRDefault="004402CB" w14:paraId="22D528A7" w14:textId="77777777">
      <w:pPr>
        <w:jc w:val="both"/>
        <w:rPr>
          <w:rFonts w:ascii="Cambria" w:hAnsi="Cambria"/>
        </w:rPr>
      </w:pPr>
    </w:p>
    <w:p w:rsidR="004402CB" w:rsidP="004402CB" w:rsidRDefault="004402CB" w14:paraId="66855EB0" w14:textId="77777777">
      <w:pPr>
        <w:jc w:val="both"/>
        <w:rPr>
          <w:rFonts w:ascii="Cambria" w:hAnsi="Cambria"/>
          <w:b/>
        </w:rPr>
      </w:pPr>
      <w:r w:rsidRPr="006241A5">
        <w:rPr>
          <w:rFonts w:ascii="Cambria" w:hAnsi="Cambria"/>
          <w:b/>
        </w:rPr>
        <w:t>Our Interest in Schwab’s Services</w:t>
      </w:r>
      <w:r>
        <w:rPr>
          <w:rFonts w:ascii="Cambria" w:hAnsi="Cambria"/>
          <w:b/>
        </w:rPr>
        <w:t>.</w:t>
      </w:r>
    </w:p>
    <w:p w:rsidR="004402CB" w:rsidP="004402CB" w:rsidRDefault="004402CB" w14:paraId="258E85D8" w14:textId="77777777">
      <w:pPr>
        <w:jc w:val="both"/>
        <w:rPr>
          <w:rFonts w:ascii="Cambria" w:hAnsi="Cambria"/>
        </w:rPr>
      </w:pPr>
    </w:p>
    <w:p w:rsidR="004402CB" w:rsidP="004402CB" w:rsidRDefault="004402CB" w14:paraId="67B16544" w14:textId="77777777">
      <w:pPr>
        <w:jc w:val="both"/>
        <w:rPr>
          <w:rFonts w:ascii="Cambria" w:hAnsi="Cambria"/>
        </w:rPr>
      </w:pPr>
      <w:r w:rsidRPr="00366822">
        <w:rPr>
          <w:rFonts w:ascii="Cambria" w:hAnsi="Cambria"/>
        </w:rPr>
        <w:t xml:space="preserve">The availability of these services from Schwab benefits our firm because our firm does not have to produce or purchase them. Our firm does not have to pay for </w:t>
      </w:r>
      <w:r>
        <w:rPr>
          <w:rFonts w:ascii="Cambria" w:hAnsi="Cambria"/>
        </w:rPr>
        <w:t xml:space="preserve">these services, and they are not contingent upon committing any specific amount of business to Schwab in trading commissions or assets in custody. </w:t>
      </w:r>
    </w:p>
    <w:p w:rsidR="004402CB" w:rsidP="004402CB" w:rsidRDefault="004402CB" w14:paraId="1B86CB94" w14:textId="77777777">
      <w:pPr>
        <w:jc w:val="both"/>
        <w:rPr>
          <w:rFonts w:ascii="Cambria" w:hAnsi="Cambria"/>
        </w:rPr>
      </w:pPr>
    </w:p>
    <w:p w:rsidRPr="004402CB" w:rsidR="004402CB" w:rsidP="004402CB" w:rsidRDefault="004402CB" w14:paraId="1D3CB97F" w14:textId="77777777">
      <w:pPr>
        <w:jc w:val="both"/>
        <w:rPr>
          <w:rFonts w:ascii="Cambria" w:hAnsi="Cambria"/>
        </w:rPr>
      </w:pPr>
      <w:proofErr w:type="gramStart"/>
      <w:r>
        <w:rPr>
          <w:rFonts w:ascii="Cambria" w:hAnsi="Cambria"/>
        </w:rPr>
        <w:lastRenderedPageBreak/>
        <w:t>In light of</w:t>
      </w:r>
      <w:proofErr w:type="gramEnd"/>
      <w:r>
        <w:rPr>
          <w:rFonts w:ascii="Cambria" w:hAnsi="Cambria"/>
        </w:rPr>
        <w:t xml:space="preserve"> our arrangements with Schwab, a conflict of interest exists as our firm may have incentive to require that clients maintain their accounts with Schwab based on our interest in receiving Schwab’s services that benefit our firm rather than based on client interest in receiving the best value in custody services and the most favorable execution of transactions. As part of our fiduciary duty to our clients, our firm will </w:t>
      </w:r>
      <w:proofErr w:type="gramStart"/>
      <w:r>
        <w:rPr>
          <w:rFonts w:ascii="Cambria" w:hAnsi="Cambria"/>
        </w:rPr>
        <w:t>endeavor at all times</w:t>
      </w:r>
      <w:proofErr w:type="gramEnd"/>
      <w:r>
        <w:rPr>
          <w:rFonts w:ascii="Cambria" w:hAnsi="Cambria"/>
        </w:rPr>
        <w:t xml:space="preserve"> to put the interests of our clients first. Clients should be aware, however, that the receipt of economic benefits by our firm or our related persons creates a potential conflict of interest and may indirectly influence our firm’s choice of Schwab as a custodial recommendation. </w:t>
      </w:r>
      <w:r w:rsidRPr="00036DAD">
        <w:rPr>
          <w:rFonts w:ascii="Cambria" w:hAnsi="Cambria"/>
          <w:spacing w:val="-3"/>
        </w:rPr>
        <w:t xml:space="preserve">Our firm examined this potential conflict of interest when </w:t>
      </w:r>
      <w:r>
        <w:rPr>
          <w:rFonts w:ascii="Cambria" w:hAnsi="Cambria"/>
          <w:spacing w:val="-3"/>
        </w:rPr>
        <w:t>our firm</w:t>
      </w:r>
      <w:r w:rsidRPr="00036DAD">
        <w:rPr>
          <w:rFonts w:ascii="Cambria" w:hAnsi="Cambria"/>
          <w:spacing w:val="-3"/>
        </w:rPr>
        <w:t xml:space="preserve"> chose </w:t>
      </w:r>
      <w:r>
        <w:rPr>
          <w:rFonts w:ascii="Cambria" w:hAnsi="Cambria"/>
          <w:spacing w:val="-3"/>
        </w:rPr>
        <w:t xml:space="preserve">to </w:t>
      </w:r>
      <w:r w:rsidRPr="004402CB">
        <w:rPr>
          <w:rFonts w:ascii="Cambria" w:hAnsi="Cambria"/>
          <w:spacing w:val="-3"/>
        </w:rPr>
        <w:t>recommend Schwab and have determined that the recommendation is in the best interest of our firm’s clients and satisfies our fiduciary obligations, including our duty to seek best execution.</w:t>
      </w:r>
    </w:p>
    <w:p w:rsidRPr="004402CB" w:rsidR="004402CB" w:rsidP="004402CB" w:rsidRDefault="004402CB" w14:paraId="3DA4F09D" w14:textId="77777777">
      <w:pPr>
        <w:jc w:val="both"/>
        <w:rPr>
          <w:rFonts w:ascii="Cambria" w:hAnsi="Cambria"/>
        </w:rPr>
      </w:pPr>
    </w:p>
    <w:p w:rsidRPr="004402CB" w:rsidR="006847BE" w:rsidP="004402CB" w:rsidRDefault="004402CB" w14:paraId="74C90EB4" w14:textId="7BAF88B4">
      <w:pPr>
        <w:pStyle w:val="Default"/>
        <w:jc w:val="both"/>
        <w:rPr>
          <w:rFonts w:ascii="Cambria" w:hAnsi="Cambria" w:cs="Arial"/>
          <w:color w:val="auto"/>
          <w:sz w:val="22"/>
          <w:szCs w:val="22"/>
        </w:rPr>
      </w:pPr>
      <w:r w:rsidRPr="004402CB">
        <w:rPr>
          <w:rFonts w:ascii="Cambria" w:hAnsi="Cambria"/>
          <w:sz w:val="22"/>
          <w:szCs w:val="22"/>
        </w:rPr>
        <w:t>In seeking best execution, the determinative factor is not the lowest possible cost, but whether the transaction represents the best qualitative execution, taking into consideration the full range of a broker-dealer’s services, including the value of research provided, execution capability, commission rates, and responsiveness. Although our firm will seek competitive rates, to the benefit of all clients, our firm may not necessarily obtain the lowest possible commission rates for specific client account transactions. Our firm believes that the selection of Schwab as a custodian and broker is the best interest of our clients. It is primarily supported by the scope, quality and price of Schwab’s services, and not Schwab’s services that only benefit our firm.</w:t>
      </w:r>
    </w:p>
    <w:p w:rsidR="00C22B4E" w:rsidP="00B7538F" w:rsidRDefault="00C22B4E" w14:paraId="7736558D" w14:textId="77777777">
      <w:pPr>
        <w:pStyle w:val="Default"/>
        <w:jc w:val="both"/>
        <w:rPr>
          <w:rFonts w:ascii="Cambria" w:hAnsi="Cambria" w:cs="Arial"/>
          <w:color w:val="auto"/>
          <w:sz w:val="22"/>
          <w:szCs w:val="22"/>
        </w:rPr>
      </w:pPr>
    </w:p>
    <w:p w:rsidRPr="007E32F6" w:rsidR="00B7538F" w:rsidP="00B7538F" w:rsidRDefault="00B7538F" w14:paraId="7A7CFC0E" w14:textId="77777777">
      <w:pPr>
        <w:pBdr>
          <w:bottom w:val="single" w:color="auto" w:sz="4" w:space="1"/>
        </w:pBdr>
        <w:jc w:val="both"/>
        <w:rPr>
          <w:rFonts w:ascii="Cambria" w:hAnsi="Cambria" w:cs="Arial"/>
          <w:b/>
        </w:rPr>
      </w:pPr>
      <w:r w:rsidRPr="007E32F6">
        <w:rPr>
          <w:rFonts w:ascii="Cambria" w:hAnsi="Cambria" w:cs="Arial"/>
          <w:b/>
        </w:rPr>
        <w:t>Soft Dollars</w:t>
      </w:r>
    </w:p>
    <w:p w:rsidRPr="007E32F6" w:rsidR="00B7538F" w:rsidP="00B7538F" w:rsidRDefault="00B7538F" w14:paraId="27DE8C6A" w14:textId="77777777">
      <w:pPr>
        <w:pStyle w:val="NoSpacing"/>
        <w:jc w:val="both"/>
        <w:rPr>
          <w:rFonts w:ascii="Cambria" w:hAnsi="Cambria" w:cs="Arial"/>
          <w:color w:val="8B1F07"/>
          <w:u w:val="single"/>
        </w:rPr>
      </w:pPr>
    </w:p>
    <w:p w:rsidR="006847BE" w:rsidP="004402CB" w:rsidRDefault="006847BE" w14:paraId="0C2B64F2" w14:textId="752284B1">
      <w:pPr>
        <w:pStyle w:val="Default"/>
        <w:jc w:val="both"/>
        <w:rPr>
          <w:rFonts w:ascii="Cambria" w:hAnsi="Cambria" w:cs="Arial"/>
          <w:sz w:val="22"/>
          <w:szCs w:val="22"/>
        </w:rPr>
      </w:pPr>
      <w:r w:rsidRPr="004402CB">
        <w:rPr>
          <w:rFonts w:ascii="Cambria" w:hAnsi="Cambria"/>
          <w:color w:val="auto"/>
          <w:sz w:val="22"/>
          <w:szCs w:val="22"/>
        </w:rPr>
        <w:t xml:space="preserve">Our firm does not receive soft dollars </w:t>
      </w:r>
      <w:proofErr w:type="gramStart"/>
      <w:r w:rsidRPr="004402CB">
        <w:rPr>
          <w:rFonts w:ascii="Cambria" w:hAnsi="Cambria"/>
          <w:color w:val="auto"/>
          <w:sz w:val="22"/>
          <w:szCs w:val="22"/>
        </w:rPr>
        <w:t>in excess of</w:t>
      </w:r>
      <w:proofErr w:type="gramEnd"/>
      <w:r w:rsidRPr="004402CB">
        <w:rPr>
          <w:rFonts w:ascii="Cambria" w:hAnsi="Cambria"/>
          <w:color w:val="auto"/>
          <w:sz w:val="22"/>
          <w:szCs w:val="22"/>
        </w:rPr>
        <w:t xml:space="preserve"> what is allowed by Section 28(e) of the Securities Exchange Act of 1934. The safe harbor research products and services obtained by our firm will generally be used to service </w:t>
      </w:r>
      <w:proofErr w:type="gramStart"/>
      <w:r w:rsidRPr="004402CB">
        <w:rPr>
          <w:rFonts w:ascii="Cambria" w:hAnsi="Cambria"/>
          <w:color w:val="auto"/>
          <w:sz w:val="22"/>
          <w:szCs w:val="22"/>
        </w:rPr>
        <w:t>all of</w:t>
      </w:r>
      <w:proofErr w:type="gramEnd"/>
      <w:r w:rsidRPr="004402CB">
        <w:rPr>
          <w:rFonts w:ascii="Cambria" w:hAnsi="Cambria"/>
          <w:color w:val="auto"/>
          <w:sz w:val="22"/>
          <w:szCs w:val="22"/>
        </w:rPr>
        <w:t xml:space="preserve"> our clients but not necessarily all at any one particular time.</w:t>
      </w:r>
      <w:r>
        <w:rPr>
          <w:rFonts w:ascii="Cambria" w:hAnsi="Cambria"/>
          <w:color w:val="auto"/>
          <w:sz w:val="22"/>
          <w:szCs w:val="22"/>
        </w:rPr>
        <w:t xml:space="preserve"> </w:t>
      </w:r>
    </w:p>
    <w:p w:rsidR="009C0DC7" w:rsidP="00456D0C" w:rsidRDefault="009C0DC7" w14:paraId="7AF991B6" w14:textId="77777777">
      <w:pPr>
        <w:pStyle w:val="Default"/>
        <w:jc w:val="both"/>
        <w:rPr>
          <w:rFonts w:ascii="Cambria" w:hAnsi="Cambria" w:cs="Arial"/>
          <w:sz w:val="22"/>
          <w:szCs w:val="22"/>
        </w:rPr>
      </w:pPr>
    </w:p>
    <w:p w:rsidRPr="00E60730" w:rsidR="00B7538F" w:rsidP="00B7538F" w:rsidRDefault="00B7538F" w14:paraId="5357FC76" w14:textId="77777777">
      <w:pPr>
        <w:pBdr>
          <w:bottom w:val="single" w:color="auto" w:sz="4" w:space="1"/>
        </w:pBdr>
        <w:jc w:val="both"/>
        <w:rPr>
          <w:rFonts w:ascii="Cambria" w:hAnsi="Cambria" w:cs="Arial"/>
          <w:b/>
        </w:rPr>
      </w:pPr>
      <w:r w:rsidRPr="00E60730">
        <w:rPr>
          <w:rFonts w:ascii="Cambria" w:hAnsi="Cambria" w:cs="Arial"/>
          <w:b/>
        </w:rPr>
        <w:t>Client Brokerage Commissions</w:t>
      </w:r>
    </w:p>
    <w:p w:rsidRPr="00E60730" w:rsidR="00B7538F" w:rsidP="00B7538F" w:rsidRDefault="00B7538F" w14:paraId="717D12C1" w14:textId="77777777">
      <w:pPr>
        <w:pStyle w:val="NoSpacing"/>
        <w:jc w:val="both"/>
        <w:rPr>
          <w:rFonts w:ascii="Cambria" w:hAnsi="Cambria" w:cs="Arial"/>
          <w:color w:val="8B1F07"/>
          <w:u w:val="single"/>
        </w:rPr>
      </w:pPr>
    </w:p>
    <w:p w:rsidR="001145A7" w:rsidP="001145A7" w:rsidRDefault="004402CB" w14:paraId="77004113" w14:textId="5796902B">
      <w:pPr>
        <w:pStyle w:val="NoSpacing"/>
        <w:jc w:val="both"/>
        <w:rPr>
          <w:rFonts w:asciiTheme="majorHAnsi" w:hAnsiTheme="majorHAnsi"/>
        </w:rPr>
      </w:pPr>
      <w:r w:rsidRPr="00E60730">
        <w:rPr>
          <w:rFonts w:asciiTheme="majorHAnsi" w:hAnsiTheme="majorHAnsi"/>
        </w:rPr>
        <w:t>Schwab</w:t>
      </w:r>
      <w:r w:rsidRPr="00E60730" w:rsidR="001145A7">
        <w:rPr>
          <w:rFonts w:asciiTheme="majorHAnsi" w:hAnsiTheme="majorHAnsi"/>
        </w:rPr>
        <w:t xml:space="preserve"> does not make client brokerage commissions generated by client transactions available for our firm’s use.</w:t>
      </w:r>
    </w:p>
    <w:p w:rsidR="00F363CC" w:rsidP="00B7538F" w:rsidRDefault="00F363CC" w14:paraId="7A74675C" w14:textId="3D1EBA58">
      <w:pPr>
        <w:pStyle w:val="NoSpacing"/>
        <w:jc w:val="both"/>
        <w:rPr>
          <w:rFonts w:ascii="Cambria" w:hAnsi="Cambria" w:cs="Arial"/>
        </w:rPr>
      </w:pPr>
    </w:p>
    <w:p w:rsidRPr="007E32F6" w:rsidR="00B7538F" w:rsidP="00B7538F" w:rsidRDefault="00B7538F" w14:paraId="5EAE29D5" w14:textId="5339A591">
      <w:pPr>
        <w:pBdr>
          <w:bottom w:val="single" w:color="auto" w:sz="4" w:space="1"/>
        </w:pBdr>
        <w:jc w:val="both"/>
        <w:rPr>
          <w:rFonts w:ascii="Cambria" w:hAnsi="Cambria" w:cs="Arial"/>
          <w:b/>
        </w:rPr>
      </w:pPr>
      <w:r>
        <w:rPr>
          <w:rFonts w:ascii="Cambria" w:hAnsi="Cambria" w:cs="Arial"/>
          <w:b/>
        </w:rPr>
        <w:t>Client Transactions in Return for Soft Dollars</w:t>
      </w:r>
    </w:p>
    <w:p w:rsidRPr="007E32F6" w:rsidR="00B7538F" w:rsidP="001145A7" w:rsidRDefault="00B7538F" w14:paraId="5A87C27E" w14:textId="77777777">
      <w:pPr>
        <w:pStyle w:val="NoSpacing"/>
        <w:jc w:val="both"/>
        <w:rPr>
          <w:rFonts w:ascii="Cambria" w:hAnsi="Cambria" w:cs="Arial"/>
          <w:color w:val="8B1F07"/>
          <w:u w:val="single"/>
        </w:rPr>
      </w:pPr>
    </w:p>
    <w:p w:rsidRPr="00E87509" w:rsidR="001145A7" w:rsidP="001145A7" w:rsidRDefault="001145A7" w14:paraId="252361F9" w14:textId="77777777">
      <w:pPr>
        <w:pStyle w:val="NoSpacing"/>
        <w:jc w:val="both"/>
        <w:rPr>
          <w:rFonts w:ascii="Cambria" w:hAnsi="Cambria" w:cs="Arial"/>
        </w:rPr>
      </w:pPr>
      <w:r>
        <w:rPr>
          <w:rFonts w:ascii="Cambria" w:hAnsi="Cambria" w:cs="Arial"/>
        </w:rPr>
        <w:t>Our firm does</w:t>
      </w:r>
      <w:r w:rsidRPr="00036DAD">
        <w:rPr>
          <w:rFonts w:ascii="Cambria" w:hAnsi="Cambria" w:cs="Arial"/>
        </w:rPr>
        <w:t xml:space="preserve"> not direct </w:t>
      </w:r>
      <w:r w:rsidRPr="00036DAD">
        <w:rPr>
          <w:rFonts w:ascii="Cambria" w:hAnsi="Cambria" w:cs="Arial"/>
          <w:iCs/>
        </w:rPr>
        <w:t xml:space="preserve">client </w:t>
      </w:r>
      <w:r w:rsidRPr="00E87509">
        <w:rPr>
          <w:rFonts w:ascii="Cambria" w:hAnsi="Cambria" w:cs="Arial"/>
        </w:rPr>
        <w:t xml:space="preserve">transactions to a particular broker-dealer in return for soft dollar benefits. </w:t>
      </w:r>
    </w:p>
    <w:p w:rsidR="00C41067" w:rsidP="00B7538F" w:rsidRDefault="00C41067" w14:paraId="2BD95044" w14:textId="77777777">
      <w:pPr>
        <w:pStyle w:val="NoSpacing"/>
        <w:jc w:val="both"/>
        <w:rPr>
          <w:rFonts w:ascii="Cambria" w:hAnsi="Cambria" w:cs="Arial"/>
        </w:rPr>
      </w:pPr>
    </w:p>
    <w:p w:rsidRPr="007E32F6" w:rsidR="00B7538F" w:rsidP="00B7538F" w:rsidRDefault="00B7538F" w14:paraId="4AE9191E" w14:textId="77777777">
      <w:pPr>
        <w:pBdr>
          <w:bottom w:val="single" w:color="auto" w:sz="4" w:space="1"/>
        </w:pBdr>
        <w:jc w:val="both"/>
        <w:rPr>
          <w:rFonts w:ascii="Cambria" w:hAnsi="Cambria" w:cs="Arial"/>
          <w:b/>
        </w:rPr>
      </w:pPr>
      <w:r w:rsidRPr="007E32F6">
        <w:rPr>
          <w:rFonts w:ascii="Cambria" w:hAnsi="Cambria" w:cs="Arial"/>
          <w:b/>
        </w:rPr>
        <w:t>Brokerage for Client Referrals</w:t>
      </w:r>
    </w:p>
    <w:p w:rsidRPr="007E32F6" w:rsidR="00B7538F" w:rsidP="00B7538F" w:rsidRDefault="00B7538F" w14:paraId="6B757A9F" w14:textId="77777777">
      <w:pPr>
        <w:pStyle w:val="NoSpacing"/>
        <w:jc w:val="both"/>
        <w:rPr>
          <w:rFonts w:ascii="Cambria" w:hAnsi="Cambria" w:cs="Arial"/>
          <w:color w:val="8B1F07"/>
          <w:u w:val="single"/>
        </w:rPr>
      </w:pPr>
    </w:p>
    <w:p w:rsidRPr="00E87509" w:rsidR="00115AD4" w:rsidP="00B7538F" w:rsidRDefault="001145A7" w14:paraId="14EE2717" w14:textId="20D51EC1">
      <w:pPr>
        <w:pStyle w:val="CM102"/>
        <w:spacing w:line="231" w:lineRule="atLeast"/>
        <w:jc w:val="both"/>
        <w:rPr>
          <w:rFonts w:ascii="Cambria" w:hAnsi="Cambria" w:cs="Arial"/>
          <w:color w:val="000000"/>
          <w:sz w:val="22"/>
          <w:szCs w:val="22"/>
        </w:rPr>
      </w:pPr>
      <w:r w:rsidRPr="00036DAD">
        <w:rPr>
          <w:rFonts w:ascii="Cambria" w:hAnsi="Cambria" w:cs="Arial"/>
          <w:sz w:val="22"/>
          <w:szCs w:val="22"/>
        </w:rPr>
        <w:t>Our firm does not receive brokerage for client referrals.</w:t>
      </w:r>
    </w:p>
    <w:p w:rsidR="00B97850" w:rsidP="00456D0C" w:rsidRDefault="00C22B4E" w14:paraId="0F5E649E" w14:textId="77777777">
      <w:pPr>
        <w:jc w:val="both"/>
        <w:rPr>
          <w:rFonts w:ascii="Cambria" w:hAnsi="Cambria" w:cs="Arial"/>
        </w:rPr>
      </w:pPr>
      <w:r w:rsidRPr="00E87509">
        <w:rPr>
          <w:rFonts w:ascii="Cambria" w:hAnsi="Cambria" w:cs="Arial"/>
        </w:rPr>
        <w:tab/>
      </w:r>
    </w:p>
    <w:p w:rsidRPr="007E32F6" w:rsidR="00B7538F" w:rsidP="00B7538F" w:rsidRDefault="00B7538F" w14:paraId="3346AAE9" w14:textId="77777777">
      <w:pPr>
        <w:pBdr>
          <w:bottom w:val="single" w:color="auto" w:sz="4" w:space="1"/>
        </w:pBdr>
        <w:jc w:val="both"/>
        <w:rPr>
          <w:rFonts w:ascii="Cambria" w:hAnsi="Cambria" w:cs="Arial"/>
          <w:b/>
        </w:rPr>
      </w:pPr>
      <w:r w:rsidRPr="007E32F6">
        <w:rPr>
          <w:rFonts w:ascii="Cambria" w:hAnsi="Cambria" w:cs="Arial"/>
          <w:b/>
        </w:rPr>
        <w:t>Directed Brokerage</w:t>
      </w:r>
    </w:p>
    <w:p w:rsidR="002B5149" w:rsidP="00456D0C" w:rsidRDefault="002B5149" w14:paraId="3917783F" w14:textId="77777777">
      <w:pPr>
        <w:jc w:val="both"/>
        <w:rPr>
          <w:rFonts w:ascii="Cambria" w:hAnsi="Cambria" w:cs="Arial"/>
        </w:rPr>
      </w:pPr>
    </w:p>
    <w:p w:rsidR="001145A7" w:rsidP="001145A7" w:rsidRDefault="001145A7" w14:paraId="0A443580" w14:textId="671C2627">
      <w:pPr>
        <w:jc w:val="both"/>
        <w:rPr>
          <w:rFonts w:ascii="Cambria" w:hAnsi="Cambria"/>
          <w:spacing w:val="-3"/>
        </w:rPr>
      </w:pPr>
      <w:r w:rsidRPr="00E60730">
        <w:rPr>
          <w:rFonts w:ascii="Cambria" w:hAnsi="Cambria" w:cs="Arial"/>
        </w:rPr>
        <w:t xml:space="preserve">Neither our firm nor any of our firm’s representatives have discretionary authority in making the determination of the brokers-dealers and/or custodians with whom orders for the purchase or sale of securities are placed for execution, and the commission rates at which such securities transactions are effected. Our firm routinely recommends that clients direct us to execute through a specified broker-dealer. Our firm recommends the use of </w:t>
      </w:r>
      <w:r w:rsidRPr="00E60730" w:rsidR="004402CB">
        <w:rPr>
          <w:rFonts w:ascii="Cambria" w:hAnsi="Cambria"/>
          <w:spacing w:val="-3"/>
        </w:rPr>
        <w:t>Schwab</w:t>
      </w:r>
      <w:r w:rsidRPr="00E60730">
        <w:rPr>
          <w:rFonts w:ascii="Cambria" w:hAnsi="Cambria"/>
          <w:spacing w:val="-3"/>
        </w:rPr>
        <w:t xml:space="preserve">. </w:t>
      </w:r>
    </w:p>
    <w:p w:rsidR="00E60730" w:rsidP="001145A7" w:rsidRDefault="00E60730" w14:paraId="6F14069B" w14:textId="3FF5314E">
      <w:pPr>
        <w:jc w:val="both"/>
        <w:rPr>
          <w:rFonts w:ascii="Cambria" w:hAnsi="Cambria" w:cs="Arial"/>
        </w:rPr>
      </w:pPr>
    </w:p>
    <w:p w:rsidRPr="00E87509" w:rsidR="00E60730" w:rsidP="001145A7" w:rsidRDefault="00E60730" w14:paraId="2EC89270" w14:textId="139121D8">
      <w:pPr>
        <w:jc w:val="both"/>
        <w:rPr>
          <w:rFonts w:ascii="Cambria" w:hAnsi="Cambria" w:cs="Arial"/>
        </w:rPr>
      </w:pPr>
      <w:r w:rsidRPr="00ED5628">
        <w:rPr>
          <w:rFonts w:ascii="Cambria" w:hAnsi="Cambria"/>
        </w:rPr>
        <w:lastRenderedPageBreak/>
        <w:t xml:space="preserve">In addition to our portfolio management and other services, the Program includes the brokerage services of </w:t>
      </w:r>
      <w:r>
        <w:rPr>
          <w:rFonts w:ascii="Cambria" w:hAnsi="Cambria"/>
        </w:rPr>
        <w:t>Schwab</w:t>
      </w:r>
      <w:r w:rsidRPr="00ED5628">
        <w:rPr>
          <w:rFonts w:ascii="Cambria" w:hAnsi="Cambria"/>
        </w:rPr>
        <w:t>,</w:t>
      </w:r>
      <w:r>
        <w:rPr>
          <w:rFonts w:ascii="Cambria" w:hAnsi="Cambria"/>
        </w:rPr>
        <w:t xml:space="preserve"> </w:t>
      </w:r>
      <w:r w:rsidRPr="00ED5628">
        <w:rPr>
          <w:rFonts w:ascii="Cambria" w:hAnsi="Cambria"/>
        </w:rPr>
        <w:t xml:space="preserve">a broker-dealer registered with the </w:t>
      </w:r>
      <w:r>
        <w:rPr>
          <w:rFonts w:ascii="Cambria" w:hAnsi="Cambria"/>
        </w:rPr>
        <w:t>SEC, member of FINRA/</w:t>
      </w:r>
      <w:r w:rsidRPr="00ED5628">
        <w:rPr>
          <w:rFonts w:ascii="Cambria" w:hAnsi="Cambria"/>
        </w:rPr>
        <w:t>SIPC. While</w:t>
      </w:r>
      <w:r>
        <w:rPr>
          <w:rFonts w:ascii="Cambria" w:hAnsi="Cambria"/>
        </w:rPr>
        <w:t xml:space="preserve"> </w:t>
      </w:r>
      <w:r w:rsidRPr="00ED5628">
        <w:rPr>
          <w:rFonts w:ascii="Cambria" w:hAnsi="Cambria"/>
        </w:rPr>
        <w:t xml:space="preserve">clients are required to use </w:t>
      </w:r>
      <w:r>
        <w:rPr>
          <w:rFonts w:ascii="Cambria" w:hAnsi="Cambria"/>
        </w:rPr>
        <w:t>Schwab</w:t>
      </w:r>
      <w:r w:rsidRPr="00ED5628">
        <w:rPr>
          <w:rFonts w:ascii="Cambria" w:hAnsi="Cambria"/>
        </w:rPr>
        <w:t xml:space="preserve"> as custodian/broker to enroll in the Program, the client decides whether to do so</w:t>
      </w:r>
      <w:r>
        <w:rPr>
          <w:rFonts w:ascii="Cambria" w:hAnsi="Cambria"/>
        </w:rPr>
        <w:t xml:space="preserve"> </w:t>
      </w:r>
      <w:r w:rsidRPr="00ED5628">
        <w:rPr>
          <w:rFonts w:ascii="Cambria" w:hAnsi="Cambria"/>
        </w:rPr>
        <w:t xml:space="preserve">and opens its account with </w:t>
      </w:r>
      <w:r>
        <w:rPr>
          <w:rFonts w:ascii="Cambria" w:hAnsi="Cambria"/>
        </w:rPr>
        <w:t>Schwab</w:t>
      </w:r>
      <w:r w:rsidRPr="00ED5628">
        <w:rPr>
          <w:rFonts w:ascii="Cambria" w:hAnsi="Cambria"/>
        </w:rPr>
        <w:t xml:space="preserve"> by entering into an account agreement directly with </w:t>
      </w:r>
      <w:r>
        <w:rPr>
          <w:rFonts w:ascii="Cambria" w:hAnsi="Cambria"/>
        </w:rPr>
        <w:t>Schwab</w:t>
      </w:r>
      <w:r w:rsidRPr="00ED5628">
        <w:rPr>
          <w:rFonts w:ascii="Cambria" w:hAnsi="Cambria"/>
        </w:rPr>
        <w:t xml:space="preserve">. </w:t>
      </w:r>
      <w:r>
        <w:rPr>
          <w:rFonts w:ascii="Cambria" w:hAnsi="Cambria"/>
        </w:rPr>
        <w:t>Our firm</w:t>
      </w:r>
      <w:r w:rsidRPr="00ED5628">
        <w:rPr>
          <w:rFonts w:ascii="Cambria" w:hAnsi="Cambria"/>
        </w:rPr>
        <w:t xml:space="preserve"> do</w:t>
      </w:r>
      <w:r>
        <w:rPr>
          <w:rFonts w:ascii="Cambria" w:hAnsi="Cambria"/>
        </w:rPr>
        <w:t>es</w:t>
      </w:r>
      <w:r w:rsidRPr="00ED5628">
        <w:rPr>
          <w:rFonts w:ascii="Cambria" w:hAnsi="Cambria"/>
        </w:rPr>
        <w:t xml:space="preserve"> not open the</w:t>
      </w:r>
      <w:r>
        <w:rPr>
          <w:rFonts w:ascii="Cambria" w:hAnsi="Cambria"/>
        </w:rPr>
        <w:t xml:space="preserve"> </w:t>
      </w:r>
      <w:r w:rsidRPr="00ED5628">
        <w:rPr>
          <w:rFonts w:ascii="Cambria" w:hAnsi="Cambria"/>
        </w:rPr>
        <w:t>account for the c</w:t>
      </w:r>
      <w:r>
        <w:rPr>
          <w:rFonts w:ascii="Cambria" w:hAnsi="Cambria"/>
        </w:rPr>
        <w:t>lient. If the client does not w</w:t>
      </w:r>
      <w:r w:rsidRPr="00ED5628">
        <w:rPr>
          <w:rFonts w:ascii="Cambria" w:hAnsi="Cambria"/>
        </w:rPr>
        <w:t xml:space="preserve">ish to place his or her assets with </w:t>
      </w:r>
      <w:r>
        <w:rPr>
          <w:rFonts w:ascii="Cambria" w:hAnsi="Cambria"/>
        </w:rPr>
        <w:t>Schwab</w:t>
      </w:r>
      <w:r w:rsidRPr="00ED5628">
        <w:rPr>
          <w:rFonts w:ascii="Cambria" w:hAnsi="Cambria"/>
        </w:rPr>
        <w:t xml:space="preserve">, then </w:t>
      </w:r>
      <w:r>
        <w:rPr>
          <w:rFonts w:ascii="Cambria" w:hAnsi="Cambria"/>
        </w:rPr>
        <w:t>our firm</w:t>
      </w:r>
      <w:r w:rsidRPr="00ED5628">
        <w:rPr>
          <w:rFonts w:ascii="Cambria" w:hAnsi="Cambria"/>
        </w:rPr>
        <w:t xml:space="preserve"> cannot manage the</w:t>
      </w:r>
      <w:r>
        <w:rPr>
          <w:rFonts w:ascii="Cambria" w:hAnsi="Cambria"/>
        </w:rPr>
        <w:t xml:space="preserve"> </w:t>
      </w:r>
      <w:r w:rsidRPr="00ED5628">
        <w:rPr>
          <w:rFonts w:ascii="Cambria" w:hAnsi="Cambria"/>
        </w:rPr>
        <w:t>client’s account through the Program. As described in the Program Disclosure Brochure, SWIA may aggregate</w:t>
      </w:r>
      <w:r>
        <w:rPr>
          <w:rFonts w:ascii="Cambria" w:hAnsi="Cambria"/>
        </w:rPr>
        <w:t xml:space="preserve"> </w:t>
      </w:r>
      <w:r w:rsidRPr="00ED5628">
        <w:rPr>
          <w:rFonts w:ascii="Cambria" w:hAnsi="Cambria"/>
        </w:rPr>
        <w:t>purchase and sale orders for ETFs across accounts enrolled in the Program, including both accounts for our clients</w:t>
      </w:r>
      <w:r>
        <w:rPr>
          <w:rFonts w:ascii="Cambria" w:hAnsi="Cambria"/>
        </w:rPr>
        <w:t xml:space="preserve"> </w:t>
      </w:r>
      <w:r w:rsidRPr="00ED5628">
        <w:rPr>
          <w:rFonts w:ascii="Cambria" w:hAnsi="Cambria"/>
        </w:rPr>
        <w:t>and accounts for clients of other in</w:t>
      </w:r>
      <w:r>
        <w:rPr>
          <w:rFonts w:ascii="Cambria" w:hAnsi="Cambria"/>
        </w:rPr>
        <w:t>dependent investment advisory f</w:t>
      </w:r>
      <w:r w:rsidRPr="00ED5628">
        <w:rPr>
          <w:rFonts w:ascii="Cambria" w:hAnsi="Cambria"/>
        </w:rPr>
        <w:t>irms using the Program.</w:t>
      </w:r>
    </w:p>
    <w:p w:rsidR="00341CED" w:rsidP="00456D0C" w:rsidRDefault="00341CED" w14:paraId="2DA2C8A6" w14:textId="77777777">
      <w:pPr>
        <w:jc w:val="both"/>
        <w:rPr>
          <w:rFonts w:ascii="Cambria" w:hAnsi="Cambria" w:cs="Arial"/>
          <w:highlight w:val="magenta"/>
        </w:rPr>
      </w:pPr>
    </w:p>
    <w:p w:rsidRPr="00E60730" w:rsidR="009961F4" w:rsidP="009961F4" w:rsidRDefault="009961F4" w14:paraId="26146EDC" w14:textId="04A0860B">
      <w:pPr>
        <w:pStyle w:val="NoSpacing"/>
        <w:pBdr>
          <w:bottom w:val="single" w:color="auto" w:sz="2" w:space="1"/>
        </w:pBdr>
        <w:jc w:val="both"/>
        <w:rPr>
          <w:rFonts w:ascii="Cambria" w:hAnsi="Cambria" w:cs="Arial"/>
          <w:b/>
        </w:rPr>
      </w:pPr>
      <w:r w:rsidRPr="00E60730">
        <w:rPr>
          <w:rFonts w:ascii="Cambria" w:hAnsi="Cambria" w:cs="Arial"/>
          <w:b/>
        </w:rPr>
        <w:t>Client-Directed Brokerage</w:t>
      </w:r>
    </w:p>
    <w:p w:rsidRPr="00E60730" w:rsidR="009961F4" w:rsidP="009961F4" w:rsidRDefault="009961F4" w14:paraId="78EDAB5C" w14:textId="77777777">
      <w:pPr>
        <w:pStyle w:val="NoSpacing"/>
        <w:jc w:val="both"/>
        <w:rPr>
          <w:rFonts w:ascii="Cambria" w:hAnsi="Cambria" w:cs="Arial"/>
          <w:sz w:val="16"/>
          <w:szCs w:val="16"/>
        </w:rPr>
      </w:pPr>
    </w:p>
    <w:p w:rsidR="001145A7" w:rsidP="007D5DDB" w:rsidRDefault="001145A7" w14:paraId="051E2AE7" w14:textId="77777777">
      <w:pPr>
        <w:jc w:val="both"/>
        <w:rPr>
          <w:rFonts w:ascii="Cambria" w:hAnsi="Cambria" w:cs="Arial"/>
          <w:color w:val="000000"/>
        </w:rPr>
      </w:pPr>
      <w:r w:rsidRPr="00E60730">
        <w:rPr>
          <w:rFonts w:ascii="Cambria" w:hAnsi="Cambria" w:cs="Arial"/>
          <w:color w:val="000000"/>
        </w:rPr>
        <w:t xml:space="preserve">Our firm allows clients to direct brokerage outside our recommendation. Our firm may be unable to achieve the most favorable execution of </w:t>
      </w:r>
      <w:r w:rsidRPr="00E60730">
        <w:rPr>
          <w:rFonts w:ascii="Cambria" w:hAnsi="Cambria" w:cs="Arial"/>
          <w:iCs/>
          <w:color w:val="000000"/>
        </w:rPr>
        <w:t xml:space="preserve">client </w:t>
      </w:r>
      <w:r w:rsidRPr="00E60730">
        <w:rPr>
          <w:rFonts w:ascii="Cambria" w:hAnsi="Cambria" w:cs="Arial"/>
          <w:color w:val="000000"/>
        </w:rPr>
        <w:t xml:space="preserve">transactions. Client directed brokerage may cost </w:t>
      </w:r>
      <w:r w:rsidRPr="00E60730">
        <w:rPr>
          <w:rFonts w:ascii="Cambria" w:hAnsi="Cambria" w:cs="Arial"/>
          <w:iCs/>
          <w:color w:val="000000"/>
        </w:rPr>
        <w:t xml:space="preserve">clients </w:t>
      </w:r>
      <w:r w:rsidRPr="00E60730">
        <w:rPr>
          <w:rFonts w:ascii="Cambria" w:hAnsi="Cambria" w:cs="Arial"/>
          <w:color w:val="000000"/>
        </w:rPr>
        <w:t>more money. For example, in a directed brokerage account, clients</w:t>
      </w:r>
      <w:r w:rsidRPr="00E60730">
        <w:rPr>
          <w:rFonts w:ascii="Cambria" w:hAnsi="Cambria" w:cs="Arial"/>
          <w:iCs/>
          <w:color w:val="000000"/>
        </w:rPr>
        <w:t xml:space="preserve"> </w:t>
      </w:r>
      <w:r w:rsidRPr="00E60730">
        <w:rPr>
          <w:rFonts w:ascii="Cambria" w:hAnsi="Cambria" w:cs="Arial"/>
          <w:color w:val="000000"/>
        </w:rPr>
        <w:t>may pay higher brokerage commissions because our firm may not be able to aggregate orders to reduce transaction costs, or clients</w:t>
      </w:r>
      <w:r w:rsidRPr="00E60730">
        <w:rPr>
          <w:rFonts w:ascii="Cambria" w:hAnsi="Cambria" w:cs="Arial"/>
          <w:iCs/>
          <w:color w:val="000000"/>
        </w:rPr>
        <w:t xml:space="preserve"> </w:t>
      </w:r>
      <w:r w:rsidRPr="00E60730">
        <w:rPr>
          <w:rFonts w:ascii="Cambria" w:hAnsi="Cambria" w:cs="Arial"/>
          <w:color w:val="000000"/>
        </w:rPr>
        <w:t>may receive less favorable prices.</w:t>
      </w:r>
      <w:r w:rsidRPr="00E87509">
        <w:rPr>
          <w:rFonts w:ascii="Cambria" w:hAnsi="Cambria" w:cs="Arial"/>
          <w:color w:val="000000"/>
        </w:rPr>
        <w:t xml:space="preserve"> </w:t>
      </w:r>
    </w:p>
    <w:p w:rsidR="00C26559" w:rsidP="009961F4" w:rsidRDefault="00C26559" w14:paraId="761F4D39" w14:textId="22B44BBE">
      <w:pPr>
        <w:pStyle w:val="NoSpacing"/>
        <w:jc w:val="both"/>
        <w:rPr>
          <w:rFonts w:ascii="Cambria" w:hAnsi="Cambria" w:cs="Arial"/>
        </w:rPr>
      </w:pPr>
    </w:p>
    <w:p w:rsidRPr="00376587" w:rsidR="009961F4" w:rsidP="009961F4" w:rsidRDefault="009961F4" w14:paraId="29E27EBE" w14:textId="77777777">
      <w:pPr>
        <w:pBdr>
          <w:bottom w:val="single" w:color="auto" w:sz="2" w:space="1"/>
        </w:pBdr>
        <w:tabs>
          <w:tab w:val="left" w:pos="1080"/>
        </w:tabs>
        <w:autoSpaceDE w:val="0"/>
        <w:autoSpaceDN w:val="0"/>
        <w:jc w:val="both"/>
        <w:rPr>
          <w:rFonts w:ascii="Cambria" w:hAnsi="Cambria" w:cs="Arial"/>
          <w:b/>
          <w:color w:val="000000"/>
        </w:rPr>
      </w:pPr>
      <w:r w:rsidRPr="00376587">
        <w:rPr>
          <w:rFonts w:ascii="Cambria" w:hAnsi="Cambria" w:cs="Arial"/>
          <w:b/>
          <w:color w:val="000000"/>
        </w:rPr>
        <w:t>Aggregation of Purchase or Sale</w:t>
      </w:r>
    </w:p>
    <w:p w:rsidRPr="0048078F" w:rsidR="009961F4" w:rsidP="009961F4" w:rsidRDefault="009961F4" w14:paraId="7124FC63" w14:textId="77777777">
      <w:pPr>
        <w:tabs>
          <w:tab w:val="left" w:pos="1440"/>
        </w:tabs>
        <w:autoSpaceDE w:val="0"/>
        <w:autoSpaceDN w:val="0"/>
        <w:adjustRightInd w:val="0"/>
        <w:ind w:left="1440" w:hanging="360"/>
        <w:jc w:val="both"/>
        <w:rPr>
          <w:rFonts w:ascii="Cambria" w:hAnsi="Cambria" w:cs="Arial"/>
          <w:sz w:val="16"/>
          <w:szCs w:val="16"/>
        </w:rPr>
      </w:pPr>
    </w:p>
    <w:p w:rsidRPr="00E87509" w:rsidR="001145A7" w:rsidP="007D5DDB" w:rsidRDefault="001145A7" w14:paraId="32F3591A" w14:textId="31C21918">
      <w:pPr>
        <w:jc w:val="both"/>
        <w:rPr>
          <w:rFonts w:ascii="Cambria" w:hAnsi="Cambria" w:cs="Arial"/>
          <w:spacing w:val="-3"/>
        </w:rPr>
      </w:pPr>
      <w:r>
        <w:rPr>
          <w:rFonts w:ascii="Cambria" w:hAnsi="Cambria" w:cs="Arial"/>
          <w:spacing w:val="-3"/>
        </w:rPr>
        <w:t>Our firm</w:t>
      </w:r>
      <w:r w:rsidRPr="00E87509">
        <w:rPr>
          <w:rFonts w:ascii="Cambria" w:hAnsi="Cambria" w:cs="Arial"/>
          <w:spacing w:val="-3"/>
        </w:rPr>
        <w:t xml:space="preserve"> </w:t>
      </w:r>
      <w:r>
        <w:rPr>
          <w:rFonts w:ascii="Cambria" w:hAnsi="Cambria" w:cs="Arial"/>
          <w:spacing w:val="-3"/>
        </w:rPr>
        <w:t>provides</w:t>
      </w:r>
      <w:r w:rsidRPr="00E87509">
        <w:rPr>
          <w:rFonts w:ascii="Cambria" w:hAnsi="Cambria" w:cs="Arial"/>
          <w:spacing w:val="-3"/>
        </w:rPr>
        <w:t xml:space="preserve"> investment management services for various clients. There are occasions on which portfolio transactions may be executed as part of concurrent authorizations to purchase or sell the same security for numerous accounts served by our firm, which involve accounts with similar investment objectives. Although such concurrent authorizations potentially could be either advantageous or disadvantageous to any one or more </w:t>
      </w:r>
      <w:proofErr w:type="gramStart"/>
      <w:r w:rsidRPr="00E87509">
        <w:rPr>
          <w:rFonts w:ascii="Cambria" w:hAnsi="Cambria" w:cs="Arial"/>
          <w:spacing w:val="-3"/>
        </w:rPr>
        <w:t>particular accounts</w:t>
      </w:r>
      <w:proofErr w:type="gramEnd"/>
      <w:r w:rsidRPr="00E87509">
        <w:rPr>
          <w:rFonts w:ascii="Cambria" w:hAnsi="Cambria" w:cs="Arial"/>
          <w:spacing w:val="-3"/>
        </w:rPr>
        <w:t xml:space="preserve">, they are affected only when </w:t>
      </w:r>
      <w:r>
        <w:rPr>
          <w:rFonts w:ascii="Cambria" w:hAnsi="Cambria" w:cs="Arial"/>
          <w:spacing w:val="-3"/>
        </w:rPr>
        <w:t>our firm</w:t>
      </w:r>
      <w:r w:rsidRPr="00E87509">
        <w:rPr>
          <w:rFonts w:ascii="Cambria" w:hAnsi="Cambria" w:cs="Arial"/>
          <w:spacing w:val="-3"/>
        </w:rPr>
        <w:t xml:space="preserve"> believe</w:t>
      </w:r>
      <w:r>
        <w:rPr>
          <w:rFonts w:ascii="Cambria" w:hAnsi="Cambria" w:cs="Arial"/>
          <w:spacing w:val="-3"/>
        </w:rPr>
        <w:t>s</w:t>
      </w:r>
      <w:r w:rsidRPr="00E87509">
        <w:rPr>
          <w:rFonts w:ascii="Cambria" w:hAnsi="Cambria" w:cs="Arial"/>
          <w:spacing w:val="-3"/>
        </w:rPr>
        <w:t xml:space="preserve"> that to do so will be in the best interest of the effected accounts. When such concurrent authorizations occur, the objective is to allocate the executions in a manner which is deemed equitable to the accounts involved. In any given situation, </w:t>
      </w:r>
      <w:r>
        <w:rPr>
          <w:rFonts w:ascii="Cambria" w:hAnsi="Cambria" w:cs="Arial"/>
          <w:spacing w:val="-3"/>
        </w:rPr>
        <w:t>our firm</w:t>
      </w:r>
      <w:r w:rsidRPr="00E87509">
        <w:rPr>
          <w:rFonts w:ascii="Cambria" w:hAnsi="Cambria" w:cs="Arial"/>
          <w:spacing w:val="-3"/>
        </w:rPr>
        <w:t xml:space="preserve"> attempt</w:t>
      </w:r>
      <w:r>
        <w:rPr>
          <w:rFonts w:ascii="Cambria" w:hAnsi="Cambria" w:cs="Arial"/>
          <w:spacing w:val="-3"/>
        </w:rPr>
        <w:t>s</w:t>
      </w:r>
      <w:r w:rsidRPr="00E87509">
        <w:rPr>
          <w:rFonts w:ascii="Cambria" w:hAnsi="Cambria" w:cs="Arial"/>
          <w:spacing w:val="-3"/>
        </w:rPr>
        <w:t xml:space="preserve"> to allocate trade executions in the most equitable manner possible, taking into consideration client objectives, current asset allocation and availability of funds using price averaging, proration and consistently non-arbitrary methods of allocation.</w:t>
      </w:r>
    </w:p>
    <w:p w:rsidRPr="00E87509" w:rsidR="00EB433C" w:rsidP="00D60E57" w:rsidRDefault="00EB433C" w14:paraId="7C39129A" w14:textId="411C474B">
      <w:pPr>
        <w:autoSpaceDE w:val="0"/>
        <w:autoSpaceDN w:val="0"/>
        <w:rPr>
          <w:rFonts w:ascii="Cambria" w:hAnsi="Cambria" w:cs="Arial"/>
          <w:b/>
          <w:bCs/>
          <w:color w:val="000000"/>
        </w:rPr>
      </w:pPr>
    </w:p>
    <w:p w:rsidRPr="00594E59" w:rsidR="00676AD2" w:rsidP="0002356D" w:rsidRDefault="00676AD2" w14:paraId="5CCB324C"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88" w:id="34"/>
    </w:p>
    <w:p w:rsidR="00676AD2" w:rsidP="0002356D" w:rsidRDefault="00676AD2" w14:paraId="7A55644C"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6" w:id="35"/>
      <w:r w:rsidRPr="00EE0750">
        <w:rPr>
          <w:rFonts w:ascii="Cambria" w:hAnsi="Cambria" w:cs="Arial"/>
          <w:b/>
          <w:sz w:val="24"/>
          <w:szCs w:val="24"/>
        </w:rPr>
        <w:t>Item 13: Review of Accounts or Financial Plans</w:t>
      </w:r>
      <w:bookmarkEnd w:id="34"/>
      <w:bookmarkEnd w:id="35"/>
    </w:p>
    <w:p w:rsidRPr="00594E59" w:rsidR="00676AD2" w:rsidP="0002356D" w:rsidRDefault="00676AD2" w14:paraId="38F5BDE2"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676AD2" w:rsidP="00676AD2" w:rsidRDefault="00676AD2" w14:paraId="46824DC2" w14:textId="77777777">
      <w:pPr>
        <w:pStyle w:val="BodyText"/>
        <w:rPr>
          <w:rFonts w:ascii="Cambria" w:hAnsi="Cambria" w:cs="Arial"/>
          <w:sz w:val="22"/>
          <w:szCs w:val="22"/>
        </w:rPr>
      </w:pPr>
    </w:p>
    <w:p w:rsidRPr="00396E6D" w:rsidR="00676AD2" w:rsidP="00676AD2" w:rsidRDefault="00676AD2" w14:paraId="46D0B055" w14:textId="31D9B29D">
      <w:pPr>
        <w:jc w:val="both"/>
        <w:rPr>
          <w:rFonts w:ascii="Cambria" w:hAnsi="Cambria" w:cs="Arial"/>
        </w:rPr>
      </w:pPr>
      <w:r>
        <w:rPr>
          <w:rFonts w:ascii="Cambria" w:hAnsi="Cambria" w:cs="Arial"/>
        </w:rPr>
        <w:t>Ou</w:t>
      </w:r>
      <w:r w:rsidRPr="00396E6D">
        <w:rPr>
          <w:rFonts w:ascii="Cambria" w:hAnsi="Cambria" w:cs="Arial"/>
        </w:rPr>
        <w:t>r management personnel or financial advisors review accounts on at least a quarterly basis for our Asset</w:t>
      </w:r>
      <w:r w:rsidRPr="00396E6D" w:rsidR="00396E6D">
        <w:rPr>
          <w:rFonts w:ascii="Cambria" w:hAnsi="Cambria" w:cs="Arial"/>
        </w:rPr>
        <w:t xml:space="preserve"> Management </w:t>
      </w:r>
      <w:r w:rsidRPr="00396E6D">
        <w:rPr>
          <w:rFonts w:ascii="Cambria" w:hAnsi="Cambria" w:cs="Arial"/>
        </w:rPr>
        <w:t xml:space="preserve">clients. The nature of these reviews is to learn whether client accounts are in line with their investment objectives, appropriately positioned based on market conditions, and investment policies, if applicable. </w:t>
      </w:r>
      <w:r w:rsidR="00396E6D">
        <w:rPr>
          <w:rFonts w:ascii="Cambria" w:hAnsi="Cambria" w:cs="Arial"/>
        </w:rPr>
        <w:t>We provide written reports to clients which may include performance reports and billing information.</w:t>
      </w:r>
      <w:r w:rsidRPr="00396E6D">
        <w:rPr>
          <w:rFonts w:ascii="Cambria" w:hAnsi="Cambria" w:cs="Arial"/>
        </w:rPr>
        <w:t xml:space="preserve"> Verbal reports to clients take place on at least an annual b</w:t>
      </w:r>
      <w:r w:rsidRPr="00396E6D" w:rsidR="00396E6D">
        <w:rPr>
          <w:rFonts w:ascii="Cambria" w:hAnsi="Cambria" w:cs="Arial"/>
        </w:rPr>
        <w:t xml:space="preserve">asis when our Asset Management </w:t>
      </w:r>
      <w:r w:rsidRPr="00396E6D">
        <w:rPr>
          <w:rFonts w:ascii="Cambria" w:hAnsi="Cambria" w:cs="Arial"/>
        </w:rPr>
        <w:t>clients are contacted.</w:t>
      </w:r>
      <w:r w:rsidRPr="00396E6D" w:rsidR="002571E5">
        <w:rPr>
          <w:rFonts w:ascii="Cambria" w:hAnsi="Cambria" w:cs="Arial"/>
        </w:rPr>
        <w:t xml:space="preserve"> </w:t>
      </w:r>
    </w:p>
    <w:p w:rsidRPr="00396E6D" w:rsidR="009961F4" w:rsidP="00676AD2" w:rsidRDefault="009961F4" w14:paraId="7BF5AB75" w14:textId="77777777">
      <w:pPr>
        <w:jc w:val="both"/>
        <w:rPr>
          <w:rFonts w:ascii="Cambria" w:hAnsi="Cambria" w:cs="Arial"/>
        </w:rPr>
      </w:pPr>
    </w:p>
    <w:p w:rsidRPr="00396E6D" w:rsidR="00676AD2" w:rsidP="00676AD2" w:rsidRDefault="00676AD2" w14:paraId="418D46D0" w14:textId="40F55A4A">
      <w:pPr>
        <w:jc w:val="both"/>
        <w:rPr>
          <w:rFonts w:ascii="Cambria" w:hAnsi="Cambria" w:cs="Arial"/>
        </w:rPr>
      </w:pPr>
      <w:r w:rsidRPr="00396E6D">
        <w:rPr>
          <w:rFonts w:ascii="Cambria" w:hAnsi="Cambria" w:cs="Arial"/>
        </w:rPr>
        <w:t>Our firm may review client accounts more frequently than described above. Among the factors which may trigger an off-cycle review are major market or economic events, the client’s life events, requests by the client, etc.</w:t>
      </w:r>
      <w:r w:rsidRPr="00396E6D" w:rsidR="002571E5">
        <w:rPr>
          <w:rFonts w:ascii="Cambria" w:hAnsi="Cambria" w:cs="Arial"/>
        </w:rPr>
        <w:t xml:space="preserve"> </w:t>
      </w:r>
    </w:p>
    <w:p w:rsidR="00B027C2" w:rsidP="00676AD2" w:rsidRDefault="00B027C2" w14:paraId="4255AF6E" w14:textId="23CA30B4">
      <w:pPr>
        <w:jc w:val="both"/>
        <w:rPr>
          <w:rFonts w:ascii="Cambria" w:hAnsi="Cambria" w:cs="Arial"/>
        </w:rPr>
      </w:pPr>
    </w:p>
    <w:p w:rsidR="00B027C2" w:rsidP="00676AD2" w:rsidRDefault="00B027C2" w14:paraId="1EBB33F2" w14:textId="57A62AE9">
      <w:pPr>
        <w:jc w:val="both"/>
        <w:rPr>
          <w:rFonts w:ascii="Cambria" w:hAnsi="Cambria" w:cs="Arial"/>
        </w:rPr>
      </w:pPr>
    </w:p>
    <w:p w:rsidR="00B027C2" w:rsidP="00676AD2" w:rsidRDefault="00B027C2" w14:paraId="5D9AC26A" w14:textId="3D2BDDE2">
      <w:pPr>
        <w:jc w:val="both"/>
        <w:rPr>
          <w:rFonts w:ascii="Cambria" w:hAnsi="Cambria" w:cs="Arial"/>
        </w:rPr>
      </w:pPr>
    </w:p>
    <w:p w:rsidR="00B027C2" w:rsidP="00676AD2" w:rsidRDefault="00B027C2" w14:paraId="56EBF553" w14:textId="77777777">
      <w:pPr>
        <w:jc w:val="both"/>
        <w:rPr>
          <w:rFonts w:ascii="Cambria" w:hAnsi="Cambria" w:cs="Arial"/>
        </w:rPr>
      </w:pPr>
    </w:p>
    <w:p w:rsidRPr="00396E6D" w:rsidR="00673171" w:rsidP="00676AD2" w:rsidRDefault="00673171" w14:paraId="710F82DD" w14:textId="77777777">
      <w:pPr>
        <w:jc w:val="both"/>
        <w:rPr>
          <w:rFonts w:ascii="Cambria" w:hAnsi="Cambria" w:cs="Arial"/>
        </w:rPr>
      </w:pPr>
    </w:p>
    <w:p w:rsidRPr="00594E59" w:rsidR="00676AD2" w:rsidP="0002356D" w:rsidRDefault="00676AD2" w14:paraId="3483714E"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89" w:id="36"/>
    </w:p>
    <w:p w:rsidR="00676AD2" w:rsidP="0002356D" w:rsidRDefault="00676AD2" w14:paraId="319E94B4"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7" w:id="37"/>
      <w:r w:rsidRPr="00EE0750">
        <w:rPr>
          <w:rFonts w:ascii="Cambria" w:hAnsi="Cambria" w:cs="Arial"/>
          <w:b/>
          <w:sz w:val="24"/>
          <w:szCs w:val="24"/>
        </w:rPr>
        <w:t>Item 14: Client Referrals &amp; Other Compensation</w:t>
      </w:r>
      <w:bookmarkEnd w:id="36"/>
      <w:bookmarkEnd w:id="37"/>
    </w:p>
    <w:p w:rsidRPr="00594E59" w:rsidR="00676AD2" w:rsidP="0002356D" w:rsidRDefault="00676AD2" w14:paraId="2BBB8F4A"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676AD2" w:rsidP="00676AD2" w:rsidRDefault="00676AD2" w14:paraId="5574D1D0" w14:textId="77777777">
      <w:pPr>
        <w:pStyle w:val="NoSpacing"/>
        <w:jc w:val="center"/>
        <w:outlineLvl w:val="0"/>
        <w:rPr>
          <w:rFonts w:ascii="Cambria" w:hAnsi="Cambria" w:cs="Arial"/>
          <w:b/>
          <w:u w:val="single"/>
        </w:rPr>
      </w:pPr>
    </w:p>
    <w:p w:rsidRPr="00EC475B" w:rsidR="009961F4" w:rsidP="009961F4" w:rsidRDefault="00396E6D" w14:paraId="774FB3AB" w14:textId="105D2B52">
      <w:pPr>
        <w:pStyle w:val="NoSpacing"/>
        <w:pBdr>
          <w:bottom w:val="single" w:color="auto" w:sz="2" w:space="1"/>
        </w:pBdr>
        <w:jc w:val="both"/>
        <w:rPr>
          <w:rFonts w:ascii="Cambria" w:hAnsi="Cambria" w:cs="Arial"/>
          <w:b/>
        </w:rPr>
      </w:pPr>
      <w:r>
        <w:rPr>
          <w:rFonts w:ascii="Cambria" w:hAnsi="Cambria" w:cs="Arial"/>
          <w:b/>
        </w:rPr>
        <w:t>Charles Schwab &amp; Co., Inc.</w:t>
      </w:r>
    </w:p>
    <w:p w:rsidRPr="009961F4" w:rsidR="009961F4" w:rsidP="009961F4" w:rsidRDefault="009961F4" w14:paraId="47ACADEB" w14:textId="77777777">
      <w:pPr>
        <w:pStyle w:val="Default"/>
        <w:jc w:val="both"/>
        <w:rPr>
          <w:rFonts w:ascii="Cambria" w:hAnsi="Cambria"/>
          <w:b/>
          <w:bCs/>
          <w:iCs/>
          <w:sz w:val="22"/>
          <w:szCs w:val="22"/>
        </w:rPr>
      </w:pPr>
    </w:p>
    <w:p w:rsidR="00C2340B" w:rsidP="00396E6D" w:rsidRDefault="00396E6D" w14:paraId="16B730FF" w14:textId="73A875F8">
      <w:pPr>
        <w:pStyle w:val="NoSpacing"/>
        <w:jc w:val="both"/>
        <w:rPr>
          <w:rFonts w:ascii="Cambria" w:hAnsi="Cambria"/>
        </w:rPr>
      </w:pPr>
      <w:bookmarkStart w:name="_Hlk496110011" w:id="38"/>
      <w:r>
        <w:rPr>
          <w:rFonts w:ascii="Cambria" w:hAnsi="Cambria"/>
        </w:rPr>
        <w:t>Our firm</w:t>
      </w:r>
      <w:r w:rsidRPr="00EC7C26">
        <w:rPr>
          <w:rFonts w:ascii="Cambria" w:hAnsi="Cambria"/>
        </w:rPr>
        <w:t xml:space="preserve"> receive</w:t>
      </w:r>
      <w:r>
        <w:rPr>
          <w:rFonts w:ascii="Cambria" w:hAnsi="Cambria"/>
        </w:rPr>
        <w:t>s</w:t>
      </w:r>
      <w:r w:rsidRPr="00EC7C26">
        <w:rPr>
          <w:rFonts w:ascii="Cambria" w:hAnsi="Cambria"/>
        </w:rPr>
        <w:t xml:space="preserve"> economic benefit from Schwab in the form of the support products and services </w:t>
      </w:r>
      <w:r>
        <w:rPr>
          <w:rFonts w:ascii="Cambria" w:hAnsi="Cambria"/>
        </w:rPr>
        <w:t>made</w:t>
      </w:r>
      <w:r w:rsidRPr="00EC7C26">
        <w:rPr>
          <w:rFonts w:ascii="Cambria" w:hAnsi="Cambria"/>
        </w:rPr>
        <w:t xml:space="preserve"> available to </w:t>
      </w:r>
      <w:r>
        <w:rPr>
          <w:rFonts w:ascii="Cambria" w:hAnsi="Cambria"/>
        </w:rPr>
        <w:t>our firm</w:t>
      </w:r>
      <w:r w:rsidRPr="00EC7C26">
        <w:rPr>
          <w:rFonts w:ascii="Cambria" w:hAnsi="Cambria"/>
        </w:rPr>
        <w:t xml:space="preserve"> and other independent investment advisors that have their clients maintain accounts at Schwab. These products and services, how they benefit </w:t>
      </w:r>
      <w:r>
        <w:rPr>
          <w:rFonts w:ascii="Cambria" w:hAnsi="Cambria"/>
        </w:rPr>
        <w:t>our firm</w:t>
      </w:r>
      <w:r w:rsidRPr="00EC7C26">
        <w:rPr>
          <w:rFonts w:ascii="Cambria" w:hAnsi="Cambria"/>
        </w:rPr>
        <w:t xml:space="preserve">, and the related conflicts of interest are described above </w:t>
      </w:r>
      <w:r w:rsidRPr="00EC7C26">
        <w:rPr>
          <w:rFonts w:ascii="Cambria" w:hAnsi="Cambria"/>
          <w:i/>
          <w:iCs/>
        </w:rPr>
        <w:t>(see Item 12 – Brokerage Practices)</w:t>
      </w:r>
      <w:r w:rsidRPr="00EC7C26">
        <w:rPr>
          <w:rFonts w:ascii="Cambria" w:hAnsi="Cambria"/>
        </w:rPr>
        <w:t xml:space="preserve">. The availability of Schwab’s products and services is not based on </w:t>
      </w:r>
      <w:r>
        <w:rPr>
          <w:rFonts w:ascii="Cambria" w:hAnsi="Cambria"/>
        </w:rPr>
        <w:t>our firm</w:t>
      </w:r>
      <w:r w:rsidRPr="00EC7C26">
        <w:rPr>
          <w:rFonts w:ascii="Cambria" w:hAnsi="Cambria"/>
        </w:rPr>
        <w:t xml:space="preserve"> giving particular investment advice, such as buying </w:t>
      </w:r>
      <w:proofErr w:type="gramStart"/>
      <w:r w:rsidRPr="00EC7C26">
        <w:rPr>
          <w:rFonts w:ascii="Cambria" w:hAnsi="Cambria"/>
        </w:rPr>
        <w:t>particular securities</w:t>
      </w:r>
      <w:proofErr w:type="gramEnd"/>
      <w:r w:rsidRPr="00EC7C26">
        <w:rPr>
          <w:rFonts w:ascii="Cambria" w:hAnsi="Cambria"/>
        </w:rPr>
        <w:t xml:space="preserve"> for our clients.</w:t>
      </w:r>
    </w:p>
    <w:bookmarkEnd w:id="38"/>
    <w:p w:rsidRPr="00C2340B" w:rsidR="00C2340B" w:rsidP="009961F4" w:rsidRDefault="00C2340B" w14:paraId="4B4C5EEA" w14:textId="77777777">
      <w:pPr>
        <w:pStyle w:val="NoSpacing"/>
        <w:outlineLvl w:val="0"/>
        <w:rPr>
          <w:rFonts w:ascii="Cambria" w:hAnsi="Cambria" w:cs="Arial"/>
        </w:rPr>
      </w:pPr>
    </w:p>
    <w:p w:rsidRPr="00376587" w:rsidR="009961F4" w:rsidP="009961F4" w:rsidRDefault="009961F4" w14:paraId="7D3053F4" w14:textId="77777777">
      <w:pPr>
        <w:pStyle w:val="NoSpacing"/>
        <w:pBdr>
          <w:bottom w:val="single" w:color="auto" w:sz="2" w:space="1"/>
        </w:pBdr>
        <w:jc w:val="both"/>
        <w:rPr>
          <w:rFonts w:ascii="Cambria" w:hAnsi="Cambria" w:cs="Arial"/>
          <w:b/>
        </w:rPr>
      </w:pPr>
      <w:r>
        <w:rPr>
          <w:rFonts w:ascii="Cambria" w:hAnsi="Cambria" w:cs="Arial"/>
          <w:b/>
        </w:rPr>
        <w:t xml:space="preserve">Referral Fees </w:t>
      </w:r>
    </w:p>
    <w:p w:rsidR="00396E6D" w:rsidP="007D5DDB" w:rsidRDefault="00396E6D" w14:paraId="5D02D017" w14:textId="77777777">
      <w:pPr>
        <w:jc w:val="both"/>
        <w:rPr>
          <w:rFonts w:ascii="Cambria" w:hAnsi="Cambria"/>
          <w:b/>
          <w:bCs/>
          <w:iCs/>
          <w:color w:val="000000"/>
          <w:sz w:val="16"/>
          <w:szCs w:val="16"/>
        </w:rPr>
      </w:pPr>
    </w:p>
    <w:p w:rsidR="00676AD2" w:rsidP="007D5DDB" w:rsidRDefault="00676AD2" w14:paraId="03571AED" w14:textId="451E03F4">
      <w:pPr>
        <w:jc w:val="both"/>
        <w:rPr>
          <w:rFonts w:ascii="Cambria" w:hAnsi="Cambria" w:cs="Arial"/>
        </w:rPr>
      </w:pPr>
      <w:r>
        <w:rPr>
          <w:rFonts w:ascii="Cambria" w:hAnsi="Cambria" w:cs="Arial"/>
        </w:rPr>
        <w:t>Our firm does</w:t>
      </w:r>
      <w:r w:rsidRPr="00E87509">
        <w:rPr>
          <w:rFonts w:ascii="Cambria" w:hAnsi="Cambria" w:cs="Arial"/>
        </w:rPr>
        <w:t xml:space="preserve"> not pay referral </w:t>
      </w:r>
      <w:r w:rsidRPr="00396E6D">
        <w:rPr>
          <w:rFonts w:ascii="Cambria" w:hAnsi="Cambria" w:cs="Arial"/>
        </w:rPr>
        <w:t>fees (non-</w:t>
      </w:r>
      <w:r w:rsidRPr="0063767A">
        <w:rPr>
          <w:rFonts w:ascii="Cambria" w:hAnsi="Cambria" w:cs="Arial"/>
        </w:rPr>
        <w:t xml:space="preserve">commission based) to independent solicitors (non-registered representatives) for the referral of their clients to our firm in accordance with </w:t>
      </w:r>
      <w:r w:rsidRPr="0063767A" w:rsidR="0063767A">
        <w:rPr>
          <w:rFonts w:ascii="Cambria" w:hAnsi="Cambria" w:cs="Arial"/>
        </w:rPr>
        <w:t>Rule 206 (4)-3 of the Investment Advisers Act of 1940</w:t>
      </w:r>
      <w:r w:rsidRPr="0063767A">
        <w:rPr>
          <w:rFonts w:ascii="Cambria" w:hAnsi="Cambria" w:cs="Arial"/>
        </w:rPr>
        <w:t>.</w:t>
      </w:r>
      <w:r w:rsidRPr="00E87509">
        <w:rPr>
          <w:rFonts w:ascii="Cambria" w:hAnsi="Cambria" w:cs="Arial"/>
        </w:rPr>
        <w:t xml:space="preserve"> </w:t>
      </w:r>
    </w:p>
    <w:p w:rsidRPr="00E87509" w:rsidR="00676AD2" w:rsidP="00676AD2" w:rsidRDefault="00676AD2" w14:paraId="6AA2B2FC" w14:textId="77777777">
      <w:pPr>
        <w:ind w:left="360"/>
        <w:jc w:val="both"/>
        <w:rPr>
          <w:rFonts w:ascii="Cambria" w:hAnsi="Cambria" w:cs="Arial"/>
          <w:bCs/>
        </w:rPr>
      </w:pPr>
    </w:p>
    <w:p w:rsidRPr="00594E59" w:rsidR="00676AD2" w:rsidP="0002356D" w:rsidRDefault="00676AD2" w14:paraId="7EB9613C"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90" w:id="39"/>
    </w:p>
    <w:p w:rsidR="00676AD2" w:rsidP="0002356D" w:rsidRDefault="00676AD2" w14:paraId="28D42605"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8" w:id="40"/>
      <w:r w:rsidRPr="00EE0750">
        <w:rPr>
          <w:rFonts w:ascii="Cambria" w:hAnsi="Cambria" w:cs="Arial"/>
          <w:b/>
          <w:sz w:val="24"/>
          <w:szCs w:val="24"/>
        </w:rPr>
        <w:t>Item 15: Custody</w:t>
      </w:r>
      <w:bookmarkEnd w:id="39"/>
      <w:bookmarkEnd w:id="40"/>
    </w:p>
    <w:p w:rsidRPr="00594E59" w:rsidR="00676AD2" w:rsidP="0002356D" w:rsidRDefault="00676AD2" w14:paraId="6DC364F5"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676AD2" w:rsidP="00676AD2" w:rsidRDefault="00676AD2" w14:paraId="7C04EE5B" w14:textId="77777777">
      <w:pPr>
        <w:pStyle w:val="NoSpacing"/>
        <w:ind w:left="360" w:hanging="360"/>
        <w:jc w:val="both"/>
        <w:rPr>
          <w:rFonts w:ascii="Cambria" w:hAnsi="Cambria" w:cs="Arial"/>
        </w:rPr>
      </w:pPr>
    </w:p>
    <w:p w:rsidR="007D5DDB" w:rsidP="007D5DDB" w:rsidRDefault="00C454F6" w14:paraId="28076BE1" w14:textId="3B5E860A">
      <w:pPr>
        <w:autoSpaceDE w:val="0"/>
        <w:autoSpaceDN w:val="0"/>
        <w:jc w:val="both"/>
        <w:rPr>
          <w:rFonts w:ascii="Cambria" w:hAnsi="Cambria" w:cs="Arial"/>
          <w:bCs/>
          <w:color w:val="000000"/>
        </w:rPr>
      </w:pPr>
      <w:r>
        <w:rPr>
          <w:rFonts w:ascii="Cambria" w:hAnsi="Cambria" w:cs="Arial"/>
        </w:rPr>
        <w:t xml:space="preserve">Our firm does not have custody of client funds or securities. </w:t>
      </w:r>
      <w:proofErr w:type="gramStart"/>
      <w:r w:rsidRPr="00E87509">
        <w:rPr>
          <w:rFonts w:ascii="Cambria" w:hAnsi="Cambria" w:cs="Arial"/>
        </w:rPr>
        <w:t>All of</w:t>
      </w:r>
      <w:proofErr w:type="gramEnd"/>
      <w:r w:rsidRPr="00E87509">
        <w:rPr>
          <w:rFonts w:ascii="Cambria" w:hAnsi="Cambria" w:cs="Arial"/>
        </w:rPr>
        <w:t xml:space="preserve"> our clients receive account statements directly from their </w:t>
      </w:r>
      <w:r>
        <w:rPr>
          <w:rFonts w:ascii="Cambria" w:hAnsi="Cambria" w:cs="Arial"/>
        </w:rPr>
        <w:t xml:space="preserve">qualified </w:t>
      </w:r>
      <w:r w:rsidRPr="00E87509">
        <w:rPr>
          <w:rFonts w:ascii="Cambria" w:hAnsi="Cambria" w:cs="Arial"/>
        </w:rPr>
        <w:t>custodians</w:t>
      </w:r>
      <w:r>
        <w:rPr>
          <w:rFonts w:ascii="Cambria" w:hAnsi="Cambria" w:cs="Arial"/>
        </w:rPr>
        <w:t xml:space="preserve"> at least quarterly u</w:t>
      </w:r>
      <w:r w:rsidRPr="00E87509">
        <w:rPr>
          <w:rFonts w:ascii="Cambria" w:hAnsi="Cambria" w:cs="Arial"/>
        </w:rPr>
        <w:t xml:space="preserve">pon opening </w:t>
      </w:r>
      <w:r>
        <w:rPr>
          <w:rFonts w:ascii="Cambria" w:hAnsi="Cambria" w:cs="Arial"/>
        </w:rPr>
        <w:t xml:space="preserve">of </w:t>
      </w:r>
      <w:r w:rsidRPr="00E87509">
        <w:rPr>
          <w:rFonts w:ascii="Cambria" w:hAnsi="Cambria" w:cs="Arial"/>
        </w:rPr>
        <w:t xml:space="preserve">an account. If </w:t>
      </w:r>
      <w:r>
        <w:rPr>
          <w:rFonts w:ascii="Cambria" w:hAnsi="Cambria" w:cs="Arial"/>
        </w:rPr>
        <w:t>our firm</w:t>
      </w:r>
      <w:r w:rsidRPr="00E87509">
        <w:rPr>
          <w:rFonts w:ascii="Cambria" w:hAnsi="Cambria" w:cs="Arial"/>
        </w:rPr>
        <w:t xml:space="preserve"> decide</w:t>
      </w:r>
      <w:r>
        <w:rPr>
          <w:rFonts w:ascii="Cambria" w:hAnsi="Cambria" w:cs="Arial"/>
        </w:rPr>
        <w:t>s</w:t>
      </w:r>
      <w:r w:rsidRPr="00E87509">
        <w:rPr>
          <w:rFonts w:ascii="Cambria" w:hAnsi="Cambria" w:cs="Arial"/>
        </w:rPr>
        <w:t xml:space="preserve"> to also send account statements to clients, such notice and account statements include a legend that recommends that the client compare the account statements received from the qualified custodian with those received from our firm. </w:t>
      </w:r>
      <w:r>
        <w:rPr>
          <w:rFonts w:ascii="Cambria" w:hAnsi="Cambria" w:cs="Arial"/>
        </w:rPr>
        <w:t>C</w:t>
      </w:r>
      <w:r>
        <w:rPr>
          <w:rFonts w:ascii="Cambria" w:hAnsi="Cambria" w:cs="Arial"/>
          <w:bCs/>
          <w:color w:val="000000"/>
        </w:rPr>
        <w:t xml:space="preserve">lients are </w:t>
      </w:r>
      <w:r w:rsidRPr="00E87509">
        <w:rPr>
          <w:rFonts w:ascii="Cambria" w:hAnsi="Cambria" w:cs="Arial"/>
          <w:bCs/>
          <w:color w:val="000000"/>
        </w:rPr>
        <w:t>encourage</w:t>
      </w:r>
      <w:r>
        <w:rPr>
          <w:rFonts w:ascii="Cambria" w:hAnsi="Cambria" w:cs="Arial"/>
          <w:bCs/>
          <w:color w:val="000000"/>
        </w:rPr>
        <w:t>d</w:t>
      </w:r>
      <w:r w:rsidRPr="00E87509">
        <w:rPr>
          <w:rFonts w:ascii="Cambria" w:hAnsi="Cambria" w:cs="Arial"/>
          <w:bCs/>
          <w:color w:val="000000"/>
        </w:rPr>
        <w:t xml:space="preserve"> to raise any questions with us about the custody, safety or security of their assets</w:t>
      </w:r>
      <w:r>
        <w:rPr>
          <w:rFonts w:ascii="Cambria" w:hAnsi="Cambria" w:cs="Arial"/>
          <w:bCs/>
          <w:color w:val="000000"/>
        </w:rPr>
        <w:t xml:space="preserve"> and our custodial recommendations.</w:t>
      </w:r>
    </w:p>
    <w:p w:rsidR="00275CE3" w:rsidP="00676AD2" w:rsidRDefault="00275CE3" w14:paraId="7BE90785" w14:textId="6F77D86D">
      <w:pPr>
        <w:autoSpaceDE w:val="0"/>
        <w:autoSpaceDN w:val="0"/>
        <w:jc w:val="both"/>
        <w:rPr>
          <w:rFonts w:ascii="Cambria" w:hAnsi="Cambria" w:cs="Arial"/>
        </w:rPr>
      </w:pPr>
    </w:p>
    <w:p w:rsidRPr="00396E6D" w:rsidR="00275CE3" w:rsidP="00275CE3" w:rsidRDefault="00275CE3" w14:paraId="0FEC3AFE" w14:textId="5D57B765">
      <w:pPr>
        <w:jc w:val="both"/>
        <w:rPr>
          <w:rFonts w:ascii="Cambria" w:hAnsi="Cambria"/>
          <w:bCs/>
          <w:color w:val="000000"/>
        </w:rPr>
      </w:pPr>
      <w:r w:rsidRPr="000A4422">
        <w:rPr>
          <w:rFonts w:ascii="Cambria" w:hAnsi="Cambria"/>
          <w:bCs/>
          <w:color w:val="000000"/>
        </w:rPr>
        <w:t>The SEC issued a no‐action letter (“Letter”) with respect to the Rule 206(</w:t>
      </w:r>
      <w:proofErr w:type="gramStart"/>
      <w:r w:rsidRPr="000A4422">
        <w:rPr>
          <w:rFonts w:ascii="Cambria" w:hAnsi="Cambria"/>
          <w:bCs/>
          <w:color w:val="000000"/>
        </w:rPr>
        <w:t>4)‐</w:t>
      </w:r>
      <w:proofErr w:type="gramEnd"/>
      <w:r w:rsidRPr="000A4422">
        <w:rPr>
          <w:rFonts w:ascii="Cambria" w:hAnsi="Cambria"/>
          <w:bCs/>
          <w:color w:val="000000"/>
        </w:rPr>
        <w:t>2 (“Custody Rule”) under the Investment Advisers Act of 1940 (“</w:t>
      </w:r>
      <w:r w:rsidRPr="00396E6D">
        <w:rPr>
          <w:rFonts w:ascii="Cambria" w:hAnsi="Cambria"/>
          <w:bCs/>
          <w:color w:val="000000"/>
        </w:rPr>
        <w:t xml:space="preserve">Advisers Act”). The letter provided guidance on the Custody Rule as well as clarified that an adviser who has the power to disburse client funds to a third party under a standing letter of instruction (“SLOA”) is deemed to have custody. As such, our firm has adopted the following safeguards in conjunction with our custodian, </w:t>
      </w:r>
      <w:r w:rsidRPr="00396E6D" w:rsidR="004402CB">
        <w:rPr>
          <w:rFonts w:ascii="Cambria" w:hAnsi="Cambria"/>
          <w:bCs/>
          <w:color w:val="000000"/>
        </w:rPr>
        <w:t>Schwab</w:t>
      </w:r>
      <w:r w:rsidRPr="00396E6D">
        <w:rPr>
          <w:rFonts w:ascii="Cambria" w:hAnsi="Cambria"/>
          <w:bCs/>
          <w:color w:val="000000"/>
        </w:rPr>
        <w:t>:</w:t>
      </w:r>
    </w:p>
    <w:p w:rsidRPr="00396E6D" w:rsidR="00275CE3" w:rsidP="00275CE3" w:rsidRDefault="00275CE3" w14:paraId="3FECB3D9" w14:textId="4F2C09FC">
      <w:pPr>
        <w:pStyle w:val="ListParagraph"/>
        <w:numPr>
          <w:ilvl w:val="0"/>
          <w:numId w:val="21"/>
        </w:numPr>
        <w:contextualSpacing/>
        <w:jc w:val="both"/>
        <w:rPr>
          <w:rFonts w:ascii="Cambria" w:hAnsi="Cambria"/>
          <w:bCs/>
          <w:color w:val="000000"/>
        </w:rPr>
      </w:pPr>
      <w:r w:rsidRPr="00396E6D">
        <w:rPr>
          <w:rFonts w:ascii="Cambria" w:hAnsi="Cambria"/>
          <w:bCs/>
          <w:color w:val="000000"/>
        </w:rPr>
        <w:t xml:space="preserve">The client provides an instruction to the qualified custodian, in writing, that includes the client’s signature, the third party’s name, and either the third party’s address or the third party’s account number at a custodian to which the transfer should be directed. </w:t>
      </w:r>
    </w:p>
    <w:p w:rsidRPr="000A4422" w:rsidR="00275CE3" w:rsidP="00275CE3" w:rsidRDefault="00275CE3" w14:paraId="76BC7361" w14:textId="2F01FDF3">
      <w:pPr>
        <w:pStyle w:val="ListParagraph"/>
        <w:numPr>
          <w:ilvl w:val="0"/>
          <w:numId w:val="21"/>
        </w:numPr>
        <w:contextualSpacing/>
        <w:jc w:val="both"/>
        <w:rPr>
          <w:rFonts w:ascii="Cambria" w:hAnsi="Cambria"/>
          <w:bCs/>
          <w:color w:val="000000"/>
        </w:rPr>
      </w:pPr>
      <w:r w:rsidRPr="00396E6D">
        <w:rPr>
          <w:rFonts w:ascii="Cambria" w:hAnsi="Cambria"/>
          <w:bCs/>
          <w:color w:val="000000"/>
        </w:rPr>
        <w:t>The client authorizes the investment adviser, in</w:t>
      </w:r>
      <w:r w:rsidRPr="000A4422">
        <w:rPr>
          <w:rFonts w:ascii="Cambria" w:hAnsi="Cambria"/>
          <w:bCs/>
          <w:color w:val="000000"/>
        </w:rPr>
        <w:t xml:space="preserve"> writing, either on the qualified custodian’s form or separately, to direct transfers to the third party either on a specified schedule or from time to time. </w:t>
      </w:r>
    </w:p>
    <w:p w:rsidRPr="000A4422" w:rsidR="00275CE3" w:rsidP="00275CE3" w:rsidRDefault="00275CE3" w14:paraId="36A3517E" w14:textId="4FA02B15">
      <w:pPr>
        <w:pStyle w:val="ListParagraph"/>
        <w:numPr>
          <w:ilvl w:val="0"/>
          <w:numId w:val="21"/>
        </w:numPr>
        <w:contextualSpacing/>
        <w:jc w:val="both"/>
        <w:rPr>
          <w:rFonts w:ascii="Cambria" w:hAnsi="Cambria"/>
          <w:bCs/>
          <w:color w:val="000000"/>
        </w:rPr>
      </w:pPr>
      <w:r w:rsidRPr="000A4422">
        <w:rPr>
          <w:rFonts w:ascii="Cambria" w:hAnsi="Cambria"/>
          <w:bCs/>
          <w:color w:val="000000"/>
        </w:rPr>
        <w:t xml:space="preserve">The client’s qualified custodian performs appropriate verification of the instruction, such as a signature review or other method to verify the client’s </w:t>
      </w:r>
      <w:proofErr w:type="gramStart"/>
      <w:r w:rsidRPr="000A4422">
        <w:rPr>
          <w:rFonts w:ascii="Cambria" w:hAnsi="Cambria"/>
          <w:bCs/>
          <w:color w:val="000000"/>
        </w:rPr>
        <w:t>authorization, and</w:t>
      </w:r>
      <w:proofErr w:type="gramEnd"/>
      <w:r w:rsidRPr="000A4422">
        <w:rPr>
          <w:rFonts w:ascii="Cambria" w:hAnsi="Cambria"/>
          <w:bCs/>
          <w:color w:val="000000"/>
        </w:rPr>
        <w:t xml:space="preserve"> provides a transfer of funds notice to the client promptly after each transfer. </w:t>
      </w:r>
    </w:p>
    <w:p w:rsidRPr="000A4422" w:rsidR="00275CE3" w:rsidP="00275CE3" w:rsidRDefault="00275CE3" w14:paraId="327A0EFD" w14:textId="2960323C">
      <w:pPr>
        <w:pStyle w:val="ListParagraph"/>
        <w:numPr>
          <w:ilvl w:val="0"/>
          <w:numId w:val="21"/>
        </w:numPr>
        <w:contextualSpacing/>
        <w:jc w:val="both"/>
        <w:rPr>
          <w:rFonts w:ascii="Cambria" w:hAnsi="Cambria"/>
          <w:bCs/>
          <w:color w:val="000000"/>
        </w:rPr>
      </w:pPr>
      <w:r w:rsidRPr="000A4422">
        <w:rPr>
          <w:rFonts w:ascii="Cambria" w:hAnsi="Cambria"/>
          <w:bCs/>
          <w:color w:val="000000"/>
        </w:rPr>
        <w:t xml:space="preserve">The client </w:t>
      </w:r>
      <w:proofErr w:type="gramStart"/>
      <w:r w:rsidRPr="000A4422">
        <w:rPr>
          <w:rFonts w:ascii="Cambria" w:hAnsi="Cambria"/>
          <w:bCs/>
          <w:color w:val="000000"/>
        </w:rPr>
        <w:t>has the ability to</w:t>
      </w:r>
      <w:proofErr w:type="gramEnd"/>
      <w:r w:rsidRPr="000A4422">
        <w:rPr>
          <w:rFonts w:ascii="Cambria" w:hAnsi="Cambria"/>
          <w:bCs/>
          <w:color w:val="000000"/>
        </w:rPr>
        <w:t xml:space="preserve"> terminate or change the instruction to the client’s qualified custodian. </w:t>
      </w:r>
    </w:p>
    <w:p w:rsidRPr="000A4422" w:rsidR="00275CE3" w:rsidP="00275CE3" w:rsidRDefault="00275CE3" w14:paraId="0F9DCCF1" w14:textId="590FB19E">
      <w:pPr>
        <w:pStyle w:val="ListParagraph"/>
        <w:numPr>
          <w:ilvl w:val="0"/>
          <w:numId w:val="21"/>
        </w:numPr>
        <w:contextualSpacing/>
        <w:jc w:val="both"/>
        <w:rPr>
          <w:rFonts w:ascii="Cambria" w:hAnsi="Cambria"/>
          <w:bCs/>
          <w:color w:val="000000"/>
        </w:rPr>
      </w:pPr>
      <w:r w:rsidRPr="000A4422">
        <w:rPr>
          <w:rFonts w:ascii="Cambria" w:hAnsi="Cambria"/>
          <w:bCs/>
          <w:color w:val="000000"/>
        </w:rPr>
        <w:t xml:space="preserve">The investment adviser has no authority or ability to designate or change the identity of the third party, the address, or any other information about the third party contained in the client’s instruction. </w:t>
      </w:r>
    </w:p>
    <w:p w:rsidRPr="000A4422" w:rsidR="00275CE3" w:rsidP="00275CE3" w:rsidRDefault="00275CE3" w14:paraId="33CBE28A" w14:textId="67DD0686">
      <w:pPr>
        <w:pStyle w:val="ListParagraph"/>
        <w:numPr>
          <w:ilvl w:val="0"/>
          <w:numId w:val="21"/>
        </w:numPr>
        <w:contextualSpacing/>
        <w:jc w:val="both"/>
        <w:rPr>
          <w:rFonts w:ascii="Cambria" w:hAnsi="Cambria"/>
          <w:bCs/>
          <w:color w:val="000000"/>
        </w:rPr>
      </w:pPr>
      <w:r w:rsidRPr="000A4422">
        <w:rPr>
          <w:rFonts w:ascii="Cambria" w:hAnsi="Cambria"/>
          <w:bCs/>
          <w:color w:val="000000"/>
        </w:rPr>
        <w:lastRenderedPageBreak/>
        <w:t xml:space="preserve">The investment adviser maintains records showing that the third party is not a related party of the investment adviser or located at the same address as the investment adviser. </w:t>
      </w:r>
    </w:p>
    <w:p w:rsidRPr="00275CE3" w:rsidR="00275CE3" w:rsidP="00275CE3" w:rsidRDefault="00275CE3" w14:paraId="52448AE4" w14:textId="0FCA1051">
      <w:pPr>
        <w:pStyle w:val="ListParagraph"/>
        <w:numPr>
          <w:ilvl w:val="0"/>
          <w:numId w:val="21"/>
        </w:numPr>
        <w:autoSpaceDE w:val="0"/>
        <w:autoSpaceDN w:val="0"/>
        <w:jc w:val="both"/>
        <w:rPr>
          <w:rFonts w:ascii="Cambria" w:hAnsi="Cambria" w:cs="Arial"/>
        </w:rPr>
      </w:pPr>
      <w:r w:rsidRPr="00275CE3">
        <w:rPr>
          <w:rFonts w:ascii="Cambria" w:hAnsi="Cambria"/>
          <w:bCs/>
          <w:color w:val="000000"/>
        </w:rPr>
        <w:t>The client’s qualified custodian sends the client, in writing, an initial notice confirming the instruction and an annual notice reconfirming the instruction.</w:t>
      </w:r>
    </w:p>
    <w:p w:rsidR="00275CE3" w:rsidP="00DF6535" w:rsidRDefault="00275CE3" w14:paraId="4C04D514" w14:textId="5BAA6249">
      <w:pPr>
        <w:ind w:left="360"/>
        <w:jc w:val="both"/>
        <w:rPr>
          <w:rFonts w:ascii="Cambria" w:hAnsi="Cambria" w:cs="Arial"/>
          <w:bCs/>
          <w:color w:val="000000"/>
        </w:rPr>
      </w:pPr>
    </w:p>
    <w:p w:rsidRPr="00594E59" w:rsidR="00DF6535" w:rsidP="0002356D" w:rsidRDefault="00DF6535" w14:paraId="162FE21B"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91" w:id="41"/>
    </w:p>
    <w:p w:rsidR="00DF6535" w:rsidP="0002356D" w:rsidRDefault="00DF6535" w14:paraId="4601F3BC"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09" w:id="42"/>
      <w:r w:rsidRPr="00EE0750">
        <w:rPr>
          <w:rFonts w:ascii="Cambria" w:hAnsi="Cambria" w:cs="Arial"/>
          <w:b/>
          <w:sz w:val="24"/>
          <w:szCs w:val="24"/>
        </w:rPr>
        <w:t>Item 16: Investment Discretion</w:t>
      </w:r>
      <w:bookmarkEnd w:id="41"/>
      <w:bookmarkEnd w:id="42"/>
    </w:p>
    <w:p w:rsidRPr="00594E59" w:rsidR="00DF6535" w:rsidP="0002356D" w:rsidRDefault="00DF6535" w14:paraId="53F0498A"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DF6535" w:rsidP="00DF6535" w:rsidRDefault="00DF6535" w14:paraId="44420F98" w14:textId="77777777">
      <w:pPr>
        <w:jc w:val="both"/>
        <w:rPr>
          <w:rFonts w:ascii="Cambria" w:hAnsi="Cambria" w:cs="Arial"/>
          <w:color w:val="000000"/>
          <w:u w:val="single"/>
        </w:rPr>
      </w:pPr>
    </w:p>
    <w:p w:rsidRPr="000F1C89" w:rsidR="00DF6535" w:rsidP="00396E6D" w:rsidRDefault="00D2348B" w14:paraId="0AC58549" w14:textId="294AF69D">
      <w:pPr>
        <w:jc w:val="both"/>
        <w:rPr>
          <w:rFonts w:ascii="Cambria" w:hAnsi="Cambria" w:cs="Arial"/>
        </w:rPr>
      </w:pPr>
      <w:r w:rsidRPr="001961E1">
        <w:rPr>
          <w:rFonts w:ascii="Cambria" w:hAnsi="Cambria" w:cs="Arial"/>
        </w:rPr>
        <w:t xml:space="preserve">Clients have the option of providing </w:t>
      </w:r>
      <w:r>
        <w:rPr>
          <w:rFonts w:ascii="Cambria" w:hAnsi="Cambria" w:cs="Arial"/>
        </w:rPr>
        <w:t>our firm</w:t>
      </w:r>
      <w:r w:rsidRPr="001961E1">
        <w:rPr>
          <w:rFonts w:ascii="Cambria" w:hAnsi="Cambria" w:cs="Arial"/>
        </w:rPr>
        <w:t xml:space="preserve"> with investment discretion on their behalf, pursuant</w:t>
      </w:r>
      <w:r>
        <w:rPr>
          <w:rFonts w:ascii="Cambria" w:hAnsi="Cambria" w:cs="Arial"/>
        </w:rPr>
        <w:t xml:space="preserve"> </w:t>
      </w:r>
      <w:r w:rsidRPr="001961E1">
        <w:rPr>
          <w:rFonts w:ascii="Cambria" w:hAnsi="Cambria" w:cs="Arial"/>
        </w:rPr>
        <w:t xml:space="preserve">to </w:t>
      </w:r>
      <w:r>
        <w:rPr>
          <w:rFonts w:ascii="Cambria" w:hAnsi="Cambria" w:cs="Arial"/>
        </w:rPr>
        <w:t>an executed investment advisory client</w:t>
      </w:r>
      <w:r w:rsidRPr="001961E1">
        <w:rPr>
          <w:rFonts w:ascii="Cambria" w:hAnsi="Cambria" w:cs="Arial"/>
        </w:rPr>
        <w:t xml:space="preserve"> agreement. By granting investment discretion, </w:t>
      </w:r>
      <w:r>
        <w:rPr>
          <w:rFonts w:ascii="Cambria" w:hAnsi="Cambria" w:cs="Arial"/>
        </w:rPr>
        <w:t xml:space="preserve">our firm is </w:t>
      </w:r>
      <w:r w:rsidRPr="001961E1">
        <w:rPr>
          <w:rFonts w:ascii="Cambria" w:hAnsi="Cambria" w:cs="Arial"/>
        </w:rPr>
        <w:t xml:space="preserve">authorized to execute securities transactions, </w:t>
      </w:r>
      <w:r>
        <w:rPr>
          <w:rFonts w:ascii="Cambria" w:hAnsi="Cambria" w:cs="Arial"/>
        </w:rPr>
        <w:t xml:space="preserve">determine </w:t>
      </w:r>
      <w:r w:rsidRPr="001961E1">
        <w:rPr>
          <w:rFonts w:ascii="Cambria" w:hAnsi="Cambria" w:cs="Arial"/>
        </w:rPr>
        <w:t>which securities</w:t>
      </w:r>
      <w:r>
        <w:rPr>
          <w:rFonts w:ascii="Cambria" w:hAnsi="Cambria" w:cs="Arial"/>
        </w:rPr>
        <w:t xml:space="preserve"> </w:t>
      </w:r>
      <w:r w:rsidRPr="001961E1">
        <w:rPr>
          <w:rFonts w:ascii="Cambria" w:hAnsi="Cambria" w:cs="Arial"/>
        </w:rPr>
        <w:t>are bought and sold,</w:t>
      </w:r>
      <w:r>
        <w:rPr>
          <w:rFonts w:ascii="Cambria" w:hAnsi="Cambria" w:cs="Arial"/>
        </w:rPr>
        <w:t xml:space="preserve"> and</w:t>
      </w:r>
      <w:r w:rsidRPr="001961E1">
        <w:rPr>
          <w:rFonts w:ascii="Cambria" w:hAnsi="Cambria" w:cs="Arial"/>
        </w:rPr>
        <w:t xml:space="preserve"> the total</w:t>
      </w:r>
      <w:r>
        <w:rPr>
          <w:rFonts w:ascii="Cambria" w:hAnsi="Cambria" w:cs="Arial"/>
        </w:rPr>
        <w:t xml:space="preserve"> amount to be bought and sold</w:t>
      </w:r>
      <w:r w:rsidRPr="001961E1">
        <w:rPr>
          <w:rFonts w:ascii="Cambria" w:hAnsi="Cambria" w:cs="Arial"/>
        </w:rPr>
        <w:t xml:space="preserve">. </w:t>
      </w:r>
      <w:r>
        <w:rPr>
          <w:rFonts w:ascii="Cambria" w:hAnsi="Cambria" w:cs="Arial"/>
        </w:rPr>
        <w:t xml:space="preserve">Should clients grant our firm non-discretionary authority, our firm would be required to obtain the client’s permission prior to effecting securities transactions. </w:t>
      </w:r>
      <w:r w:rsidRPr="001961E1">
        <w:rPr>
          <w:rFonts w:ascii="Cambria" w:hAnsi="Cambria" w:cs="Arial"/>
        </w:rPr>
        <w:t>Limitations may be imposed by the client in the form of</w:t>
      </w:r>
      <w:r>
        <w:rPr>
          <w:rFonts w:ascii="Cambria" w:hAnsi="Cambria" w:cs="Arial"/>
        </w:rPr>
        <w:t xml:space="preserve"> </w:t>
      </w:r>
      <w:r w:rsidRPr="001961E1">
        <w:rPr>
          <w:rFonts w:ascii="Cambria" w:hAnsi="Cambria" w:cs="Arial"/>
        </w:rPr>
        <w:t xml:space="preserve">specific constraints on any of these areas of discretion with </w:t>
      </w:r>
      <w:r>
        <w:rPr>
          <w:rFonts w:ascii="Cambria" w:hAnsi="Cambria" w:cs="Arial"/>
        </w:rPr>
        <w:t>our firm</w:t>
      </w:r>
      <w:r w:rsidRPr="001961E1">
        <w:rPr>
          <w:rFonts w:ascii="Cambria" w:hAnsi="Cambria" w:cs="Arial"/>
        </w:rPr>
        <w:t>’s written acknowledgement.</w:t>
      </w:r>
      <w:r w:rsidR="00E541EA">
        <w:rPr>
          <w:rFonts w:ascii="Cambria" w:hAnsi="Cambria" w:cs="Arial"/>
        </w:rPr>
        <w:t xml:space="preserve"> </w:t>
      </w:r>
    </w:p>
    <w:p w:rsidRPr="00E87509" w:rsidR="00DF6535" w:rsidP="00DF6535" w:rsidRDefault="00DF6535" w14:paraId="65F7F952" w14:textId="77777777">
      <w:pPr>
        <w:jc w:val="both"/>
        <w:rPr>
          <w:rFonts w:ascii="Cambria" w:hAnsi="Cambria" w:cs="Arial"/>
        </w:rPr>
      </w:pPr>
    </w:p>
    <w:p w:rsidRPr="00594E59" w:rsidR="00DF6535" w:rsidP="0002356D" w:rsidRDefault="00DF6535" w14:paraId="75249F72"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92" w:id="43"/>
    </w:p>
    <w:p w:rsidR="00DF6535" w:rsidP="0002356D" w:rsidRDefault="00DF6535" w14:paraId="1905BE65"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10" w:id="44"/>
      <w:r w:rsidRPr="00EE0750">
        <w:rPr>
          <w:rFonts w:ascii="Cambria" w:hAnsi="Cambria" w:cs="Arial"/>
          <w:b/>
          <w:sz w:val="24"/>
          <w:szCs w:val="24"/>
        </w:rPr>
        <w:t>Item 17: Voting Client Securities</w:t>
      </w:r>
      <w:bookmarkEnd w:id="43"/>
      <w:bookmarkEnd w:id="44"/>
    </w:p>
    <w:p w:rsidRPr="00594E59" w:rsidR="00DF6535" w:rsidP="0002356D" w:rsidRDefault="00DF6535" w14:paraId="0C65E46A"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DF6535" w:rsidP="00DF6535" w:rsidRDefault="00DF6535" w14:paraId="3BF86111" w14:textId="77777777">
      <w:pPr>
        <w:rPr>
          <w:rFonts w:ascii="Cambria" w:hAnsi="Cambria" w:cs="Arial"/>
          <w:color w:val="000000"/>
        </w:rPr>
      </w:pPr>
    </w:p>
    <w:p w:rsidR="00DF6535" w:rsidP="00DF6535" w:rsidRDefault="00DF6535" w14:paraId="081CC4A2" w14:textId="3644F660">
      <w:pPr>
        <w:jc w:val="both"/>
        <w:rPr>
          <w:rFonts w:ascii="Cambria" w:hAnsi="Cambria" w:cs="Arial"/>
          <w:color w:val="000000"/>
        </w:rPr>
      </w:pPr>
      <w:r>
        <w:rPr>
          <w:rFonts w:ascii="Cambria" w:hAnsi="Cambria" w:cs="Arial"/>
          <w:color w:val="000000"/>
        </w:rPr>
        <w:t>Our firm does</w:t>
      </w:r>
      <w:r w:rsidRPr="00E87509">
        <w:rPr>
          <w:rFonts w:ascii="Cambria" w:hAnsi="Cambria" w:cs="Arial"/>
          <w:color w:val="000000"/>
        </w:rPr>
        <w:t xml:space="preserve"> not accept the proxy authority to vote client securities. Clients will receive proxies or other solicitations directly from their custodian or a transfer agent. </w:t>
      </w:r>
      <w:proofErr w:type="gramStart"/>
      <w:r w:rsidRPr="00E87509">
        <w:rPr>
          <w:rFonts w:ascii="Cambria" w:hAnsi="Cambria" w:cs="Arial"/>
          <w:color w:val="000000"/>
        </w:rPr>
        <w:t>In the event that</w:t>
      </w:r>
      <w:proofErr w:type="gramEnd"/>
      <w:r w:rsidRPr="00E87509">
        <w:rPr>
          <w:rFonts w:ascii="Cambria" w:hAnsi="Cambria" w:cs="Arial"/>
          <w:color w:val="000000"/>
        </w:rPr>
        <w:t xml:space="preserve"> proxies are sent to our firm, </w:t>
      </w:r>
      <w:r>
        <w:rPr>
          <w:rFonts w:ascii="Cambria" w:hAnsi="Cambria" w:cs="Arial"/>
          <w:color w:val="000000"/>
        </w:rPr>
        <w:t>our firm</w:t>
      </w:r>
      <w:r w:rsidRPr="00E87509">
        <w:rPr>
          <w:rFonts w:ascii="Cambria" w:hAnsi="Cambria" w:cs="Arial"/>
          <w:color w:val="000000"/>
        </w:rPr>
        <w:t xml:space="preserve"> will forward them</w:t>
      </w:r>
      <w:r>
        <w:rPr>
          <w:rFonts w:ascii="Cambria" w:hAnsi="Cambria" w:cs="Arial"/>
          <w:color w:val="000000"/>
        </w:rPr>
        <w:t xml:space="preserve"> to the appropriate client</w:t>
      </w:r>
      <w:r w:rsidRPr="00E87509">
        <w:rPr>
          <w:rFonts w:ascii="Cambria" w:hAnsi="Cambria" w:cs="Arial"/>
          <w:color w:val="000000"/>
        </w:rPr>
        <w:t xml:space="preserve"> and ask the party who sent them to mail them directly to </w:t>
      </w:r>
      <w:r>
        <w:rPr>
          <w:rFonts w:ascii="Cambria" w:hAnsi="Cambria" w:cs="Arial"/>
          <w:color w:val="000000"/>
        </w:rPr>
        <w:t>the client</w:t>
      </w:r>
      <w:r w:rsidRPr="00E87509">
        <w:rPr>
          <w:rFonts w:ascii="Cambria" w:hAnsi="Cambria" w:cs="Arial"/>
          <w:color w:val="000000"/>
        </w:rPr>
        <w:t xml:space="preserve"> in the future. Clients may call, write or email us to discuss questions they may have about </w:t>
      </w:r>
      <w:proofErr w:type="gramStart"/>
      <w:r w:rsidRPr="00E87509">
        <w:rPr>
          <w:rFonts w:ascii="Cambria" w:hAnsi="Cambria" w:cs="Arial"/>
          <w:color w:val="000000"/>
        </w:rPr>
        <w:t>particular proxy</w:t>
      </w:r>
      <w:proofErr w:type="gramEnd"/>
      <w:r w:rsidRPr="00E87509">
        <w:rPr>
          <w:rFonts w:ascii="Cambria" w:hAnsi="Cambria" w:cs="Arial"/>
          <w:color w:val="000000"/>
        </w:rPr>
        <w:t xml:space="preserve"> votes or other solicitations.</w:t>
      </w:r>
    </w:p>
    <w:p w:rsidR="00DB2840" w:rsidP="00DF6535" w:rsidRDefault="00DB2840" w14:paraId="0EAC885C" w14:textId="03CA5D71">
      <w:pPr>
        <w:jc w:val="both"/>
        <w:rPr>
          <w:rFonts w:ascii="Cambria" w:hAnsi="Cambria" w:cs="Arial"/>
          <w:color w:val="000000"/>
        </w:rPr>
      </w:pPr>
    </w:p>
    <w:p w:rsidRPr="00E87509" w:rsidR="00DB2840" w:rsidP="00DF6535" w:rsidRDefault="00DB2840" w14:paraId="056F6DD1" w14:textId="490B89DC">
      <w:pPr>
        <w:jc w:val="both"/>
        <w:rPr>
          <w:rFonts w:ascii="Cambria" w:hAnsi="Cambria" w:cs="Arial"/>
          <w:color w:val="000000"/>
        </w:rPr>
      </w:pPr>
      <w:r w:rsidRPr="00ED5628">
        <w:rPr>
          <w:rFonts w:ascii="Cambria" w:hAnsi="Cambria"/>
        </w:rPr>
        <w:t>As described in the Program Disclosure Brochure, clients enrolled in the Program designate SWIA to vote proxies for</w:t>
      </w:r>
      <w:r>
        <w:rPr>
          <w:rFonts w:ascii="Cambria" w:hAnsi="Cambria"/>
        </w:rPr>
        <w:t xml:space="preserve"> </w:t>
      </w:r>
      <w:r w:rsidRPr="00ED5628">
        <w:rPr>
          <w:rFonts w:ascii="Cambria" w:hAnsi="Cambria"/>
        </w:rPr>
        <w:t xml:space="preserve">the ETFs held in their accounts. </w:t>
      </w:r>
      <w:r>
        <w:rPr>
          <w:rFonts w:ascii="Cambria" w:hAnsi="Cambria"/>
        </w:rPr>
        <w:t xml:space="preserve">Our firm has </w:t>
      </w:r>
      <w:r w:rsidRPr="00ED5628">
        <w:rPr>
          <w:rFonts w:ascii="Cambria" w:hAnsi="Cambria"/>
        </w:rPr>
        <w:t>directed SWIA to process proxy votes and corporate actions through and in</w:t>
      </w:r>
      <w:r>
        <w:rPr>
          <w:rFonts w:ascii="Cambria" w:hAnsi="Cambria"/>
        </w:rPr>
        <w:t xml:space="preserve"> </w:t>
      </w:r>
      <w:r w:rsidRPr="00ED5628">
        <w:rPr>
          <w:rFonts w:ascii="Cambria" w:hAnsi="Cambria"/>
        </w:rPr>
        <w:t xml:space="preserve">accordance with the policies and recommendations of a </w:t>
      </w:r>
      <w:proofErr w:type="gramStart"/>
      <w:r w:rsidRPr="00ED5628">
        <w:rPr>
          <w:rFonts w:ascii="Cambria" w:hAnsi="Cambria"/>
        </w:rPr>
        <w:t>third party</w:t>
      </w:r>
      <w:proofErr w:type="gramEnd"/>
      <w:r w:rsidRPr="00ED5628">
        <w:rPr>
          <w:rFonts w:ascii="Cambria" w:hAnsi="Cambria"/>
        </w:rPr>
        <w:t xml:space="preserve"> proxy voting service provider retained by SWIA for</w:t>
      </w:r>
      <w:r>
        <w:rPr>
          <w:rFonts w:ascii="Cambria" w:hAnsi="Cambria"/>
        </w:rPr>
        <w:t xml:space="preserve"> </w:t>
      </w:r>
      <w:r w:rsidRPr="00ED5628">
        <w:rPr>
          <w:rFonts w:ascii="Cambria" w:hAnsi="Cambria"/>
        </w:rPr>
        <w:t>this purpose. Additional information about this arrangement is available in the Program Disclosure Brochure. Clients</w:t>
      </w:r>
      <w:r>
        <w:rPr>
          <w:rFonts w:ascii="Cambria" w:hAnsi="Cambria"/>
        </w:rPr>
        <w:t xml:space="preserve"> </w:t>
      </w:r>
      <w:r w:rsidRPr="00ED5628">
        <w:rPr>
          <w:rFonts w:ascii="Cambria" w:hAnsi="Cambria"/>
        </w:rPr>
        <w:t>who do not wish to designate SWIA to vote proxies may retain the ability to vote</w:t>
      </w:r>
      <w:r>
        <w:rPr>
          <w:rFonts w:ascii="Cambria" w:hAnsi="Cambria"/>
        </w:rPr>
        <w:t xml:space="preserve"> </w:t>
      </w:r>
      <w:r w:rsidRPr="00ED5628">
        <w:rPr>
          <w:rFonts w:ascii="Cambria" w:hAnsi="Cambria"/>
        </w:rPr>
        <w:t xml:space="preserve">proxies themselves by signing a special </w:t>
      </w:r>
      <w:r>
        <w:rPr>
          <w:rFonts w:ascii="Cambria" w:hAnsi="Cambria"/>
        </w:rPr>
        <w:t>Schwab</w:t>
      </w:r>
      <w:r w:rsidRPr="00ED5628">
        <w:rPr>
          <w:rFonts w:ascii="Cambria" w:hAnsi="Cambria"/>
        </w:rPr>
        <w:t xml:space="preserve"> form available f</w:t>
      </w:r>
      <w:r>
        <w:rPr>
          <w:rFonts w:ascii="Cambria" w:hAnsi="Cambria"/>
        </w:rPr>
        <w:t>rom our firm.</w:t>
      </w:r>
    </w:p>
    <w:p w:rsidR="007D5DDB" w:rsidP="00DF6535" w:rsidRDefault="007D5DDB" w14:paraId="4D59E9B6" w14:textId="02A30043">
      <w:pPr>
        <w:autoSpaceDE w:val="0"/>
        <w:autoSpaceDN w:val="0"/>
        <w:rPr>
          <w:rFonts w:ascii="Cambria" w:hAnsi="Cambria" w:cs="Arial"/>
        </w:rPr>
      </w:pPr>
    </w:p>
    <w:p w:rsidRPr="00594E59" w:rsidR="00DF6535" w:rsidP="0002356D" w:rsidRDefault="00DF6535" w14:paraId="07F5E82F"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bookmarkStart w:name="_Toc358989493" w:id="45"/>
    </w:p>
    <w:p w:rsidR="00DF6535" w:rsidP="0002356D" w:rsidRDefault="00DF6535" w14:paraId="7FD90499"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sz w:val="24"/>
          <w:szCs w:val="24"/>
        </w:rPr>
      </w:pPr>
      <w:bookmarkStart w:name="_Toc1981611" w:id="46"/>
      <w:r w:rsidRPr="00EE0750">
        <w:rPr>
          <w:rFonts w:ascii="Cambria" w:hAnsi="Cambria" w:cs="Arial"/>
          <w:b/>
          <w:sz w:val="24"/>
          <w:szCs w:val="24"/>
        </w:rPr>
        <w:t>Item 18: Financial Information</w:t>
      </w:r>
      <w:bookmarkEnd w:id="45"/>
      <w:bookmarkEnd w:id="46"/>
    </w:p>
    <w:p w:rsidRPr="00594E59" w:rsidR="00DF6535" w:rsidP="0002356D" w:rsidRDefault="00DF6535" w14:paraId="43926442" w14:textId="77777777">
      <w:pPr>
        <w:pStyle w:val="NoSpacing"/>
        <w:pBdr>
          <w:top w:val="single" w:color="auto" w:sz="4" w:space="1"/>
          <w:left w:val="single" w:color="auto" w:sz="4" w:space="4"/>
          <w:bottom w:val="single" w:color="auto" w:sz="4" w:space="1"/>
          <w:right w:val="single" w:color="auto" w:sz="4" w:space="4"/>
        </w:pBdr>
        <w:shd w:val="clear" w:color="auto" w:fill="000000" w:themeFill="text1"/>
        <w:jc w:val="center"/>
        <w:outlineLvl w:val="0"/>
        <w:rPr>
          <w:rFonts w:ascii="Cambria" w:hAnsi="Cambria" w:cs="Arial"/>
          <w:b/>
        </w:rPr>
      </w:pPr>
    </w:p>
    <w:p w:rsidRPr="00E87509" w:rsidR="00C26559" w:rsidP="00C26559" w:rsidRDefault="00C26559" w14:paraId="20DD2874" w14:textId="77777777">
      <w:pPr>
        <w:pStyle w:val="NoSpacing"/>
        <w:jc w:val="center"/>
        <w:outlineLvl w:val="0"/>
        <w:rPr>
          <w:rFonts w:ascii="Cambria" w:hAnsi="Cambria" w:cs="Arial"/>
          <w:b/>
          <w:u w:val="single"/>
        </w:rPr>
      </w:pPr>
    </w:p>
    <w:p w:rsidRPr="00C80D7C" w:rsidR="00DF6535" w:rsidP="00DF6535" w:rsidRDefault="00DF6535" w14:paraId="21EBAF03" w14:textId="77777777">
      <w:pPr>
        <w:pStyle w:val="NoSpacing"/>
        <w:jc w:val="both"/>
        <w:rPr>
          <w:rFonts w:ascii="Cambria" w:hAnsi="Cambria" w:cs="Arial"/>
          <w:lang w:bidi="en-US"/>
        </w:rPr>
      </w:pPr>
      <w:r>
        <w:rPr>
          <w:rFonts w:ascii="Cambria" w:hAnsi="Cambria" w:cs="Arial"/>
          <w:lang w:bidi="en-US"/>
        </w:rPr>
        <w:t>Our firm is</w:t>
      </w:r>
      <w:r w:rsidRPr="00C80D7C">
        <w:rPr>
          <w:rFonts w:ascii="Cambria" w:hAnsi="Cambria" w:cs="Arial"/>
          <w:lang w:bidi="en-US"/>
        </w:rPr>
        <w:t xml:space="preserve"> not required to provide financial information in this Brochure because:</w:t>
      </w:r>
    </w:p>
    <w:p w:rsidRPr="00DB2840" w:rsidR="00CF15C6" w:rsidP="00275CE3" w:rsidRDefault="00CF15C6" w14:paraId="003CF589" w14:textId="2E698099">
      <w:pPr>
        <w:pStyle w:val="NoSpacing"/>
        <w:numPr>
          <w:ilvl w:val="0"/>
          <w:numId w:val="10"/>
        </w:numPr>
        <w:ind w:left="720"/>
        <w:jc w:val="both"/>
        <w:rPr>
          <w:rFonts w:ascii="Cambria" w:hAnsi="Cambria" w:cs="Arial"/>
          <w:lang w:bidi="en-US"/>
        </w:rPr>
      </w:pPr>
      <w:r>
        <w:rPr>
          <w:rFonts w:ascii="Cambria" w:hAnsi="Cambria" w:cs="Arial"/>
          <w:lang w:bidi="en-US"/>
        </w:rPr>
        <w:t>Our firm</w:t>
      </w:r>
      <w:r w:rsidRPr="00C80D7C">
        <w:rPr>
          <w:rFonts w:ascii="Cambria" w:hAnsi="Cambria" w:cs="Arial"/>
          <w:lang w:bidi="en-US"/>
        </w:rPr>
        <w:t xml:space="preserve"> do</w:t>
      </w:r>
      <w:r>
        <w:rPr>
          <w:rFonts w:ascii="Cambria" w:hAnsi="Cambria" w:cs="Arial"/>
          <w:lang w:bidi="en-US"/>
        </w:rPr>
        <w:t>es</w:t>
      </w:r>
      <w:r w:rsidRPr="00C80D7C">
        <w:rPr>
          <w:rFonts w:ascii="Cambria" w:hAnsi="Cambria" w:cs="Arial"/>
          <w:lang w:bidi="en-US"/>
        </w:rPr>
        <w:t xml:space="preserve"> not require the prepayment of more </w:t>
      </w:r>
      <w:r w:rsidRPr="00DB2840">
        <w:rPr>
          <w:rFonts w:ascii="Cambria" w:hAnsi="Cambria" w:cs="Arial"/>
          <w:lang w:bidi="en-US"/>
        </w:rPr>
        <w:t>than $</w:t>
      </w:r>
      <w:r w:rsidR="007D65FB">
        <w:rPr>
          <w:rFonts w:ascii="Cambria" w:hAnsi="Cambria" w:cs="Arial"/>
          <w:lang w:bidi="en-US"/>
        </w:rPr>
        <w:t>1,200</w:t>
      </w:r>
      <w:r w:rsidRPr="00DB2840">
        <w:rPr>
          <w:rFonts w:ascii="Cambria" w:hAnsi="Cambria" w:cs="Arial"/>
          <w:lang w:bidi="en-US"/>
        </w:rPr>
        <w:t xml:space="preserve"> in fees when services cannot be rendered within 6 months.</w:t>
      </w:r>
    </w:p>
    <w:p w:rsidRPr="00DB2840" w:rsidR="00DF6535" w:rsidP="00275CE3" w:rsidRDefault="00DF6535" w14:paraId="1B336325" w14:textId="77777777">
      <w:pPr>
        <w:pStyle w:val="NoSpacing"/>
        <w:numPr>
          <w:ilvl w:val="0"/>
          <w:numId w:val="10"/>
        </w:numPr>
        <w:ind w:left="720"/>
        <w:jc w:val="both"/>
        <w:rPr>
          <w:rFonts w:ascii="Cambria" w:hAnsi="Cambria" w:cs="Arial"/>
          <w:lang w:bidi="en-US"/>
        </w:rPr>
      </w:pPr>
      <w:r w:rsidRPr="00DB2840">
        <w:rPr>
          <w:rFonts w:ascii="Cambria" w:hAnsi="Cambria" w:cs="Arial"/>
          <w:lang w:bidi="en-US"/>
        </w:rPr>
        <w:t>Our firm does not take custody of client funds or securities.</w:t>
      </w:r>
    </w:p>
    <w:p w:rsidRPr="00C80D7C" w:rsidR="00DF6535" w:rsidP="00275CE3" w:rsidRDefault="00DF6535" w14:paraId="1D6F4222" w14:textId="77777777">
      <w:pPr>
        <w:pStyle w:val="NoSpacing"/>
        <w:numPr>
          <w:ilvl w:val="0"/>
          <w:numId w:val="10"/>
        </w:numPr>
        <w:ind w:left="720"/>
        <w:jc w:val="both"/>
        <w:rPr>
          <w:rFonts w:ascii="Cambria" w:hAnsi="Cambria" w:cs="Arial"/>
          <w:lang w:bidi="en-US"/>
        </w:rPr>
      </w:pPr>
      <w:r w:rsidRPr="00DB2840">
        <w:rPr>
          <w:rFonts w:ascii="Cambria" w:hAnsi="Cambria" w:cs="Arial"/>
          <w:lang w:bidi="en-US"/>
        </w:rPr>
        <w:t>Our firm does not have a financial condition or commitment</w:t>
      </w:r>
      <w:r w:rsidRPr="00C80D7C">
        <w:rPr>
          <w:rFonts w:ascii="Cambria" w:hAnsi="Cambria" w:cs="Arial"/>
          <w:lang w:bidi="en-US"/>
        </w:rPr>
        <w:t xml:space="preserve"> that impairs </w:t>
      </w:r>
      <w:r>
        <w:rPr>
          <w:rFonts w:ascii="Cambria" w:hAnsi="Cambria" w:cs="Arial"/>
          <w:lang w:bidi="en-US"/>
        </w:rPr>
        <w:t>our</w:t>
      </w:r>
      <w:r w:rsidRPr="00C80D7C">
        <w:rPr>
          <w:rFonts w:ascii="Cambria" w:hAnsi="Cambria" w:cs="Arial"/>
          <w:lang w:bidi="en-US"/>
        </w:rPr>
        <w:t xml:space="preserve"> ability to meet contractual and fiduciary obligations to clients.</w:t>
      </w:r>
    </w:p>
    <w:p w:rsidRPr="00C80D7C" w:rsidR="00DF6535" w:rsidP="00DF6535" w:rsidRDefault="00DF6535" w14:paraId="5048D4F6" w14:textId="77777777">
      <w:pPr>
        <w:pStyle w:val="NoSpacing"/>
        <w:ind w:left="1080"/>
        <w:jc w:val="both"/>
        <w:rPr>
          <w:rFonts w:ascii="Cambria" w:hAnsi="Cambria" w:cs="Arial"/>
          <w:lang w:bidi="en-US"/>
        </w:rPr>
      </w:pPr>
    </w:p>
    <w:p w:rsidR="00DF6535" w:rsidP="00DF6535" w:rsidRDefault="00DF6535" w14:paraId="151ECD91" w14:textId="4EF30C51">
      <w:pPr>
        <w:pStyle w:val="NoSpacing"/>
        <w:jc w:val="both"/>
        <w:rPr>
          <w:rFonts w:ascii="Cambria" w:hAnsi="Cambria" w:cs="Arial"/>
          <w:lang w:bidi="en-US"/>
        </w:rPr>
      </w:pPr>
      <w:r>
        <w:rPr>
          <w:rFonts w:ascii="Cambria" w:hAnsi="Cambria" w:cs="Arial"/>
          <w:lang w:bidi="en-US"/>
        </w:rPr>
        <w:t xml:space="preserve">Our firm has </w:t>
      </w:r>
      <w:r w:rsidRPr="00C80D7C">
        <w:rPr>
          <w:rFonts w:ascii="Cambria" w:hAnsi="Cambria" w:cs="Arial"/>
          <w:lang w:bidi="en-US"/>
        </w:rPr>
        <w:t>never been the subject of a bankruptcy proceeding.</w:t>
      </w:r>
    </w:p>
    <w:p w:rsidRPr="00E5491A" w:rsidR="00E5491A" w:rsidP="00DF6535" w:rsidRDefault="00E5491A" w14:paraId="17584A08" w14:textId="2B886EF1">
      <w:pPr>
        <w:pStyle w:val="Default"/>
        <w:tabs>
          <w:tab w:val="left" w:pos="360"/>
          <w:tab w:val="left" w:pos="720"/>
        </w:tabs>
        <w:jc w:val="both"/>
        <w:rPr>
          <w:rFonts w:ascii="Cambria" w:hAnsi="Cambria" w:cs="Arial"/>
          <w:color w:val="auto"/>
          <w:sz w:val="22"/>
          <w:szCs w:val="22"/>
        </w:rPr>
      </w:pPr>
    </w:p>
    <w:sectPr w:rsidRPr="00E5491A" w:rsidR="00E5491A" w:rsidSect="00B00D51">
      <w:footerReference w:type="default" r:id="rId9"/>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08D" w:rsidP="00C8256A" w:rsidRDefault="0016608D" w14:paraId="7C5D91E7" w14:textId="77777777">
      <w:r>
        <w:separator/>
      </w:r>
    </w:p>
  </w:endnote>
  <w:endnote w:type="continuationSeparator" w:id="0">
    <w:p w:rsidR="0016608D" w:rsidP="00C8256A" w:rsidRDefault="0016608D" w14:paraId="7732E0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7EB2" w:rsidR="0016608D" w:rsidP="00EC475B" w:rsidRDefault="0016608D" w14:paraId="38AD56C2" w14:textId="31B4A080">
    <w:pPr>
      <w:pStyle w:val="Footer"/>
      <w:pBdr>
        <w:top w:val="single" w:color="auto" w:sz="4" w:space="1"/>
      </w:pBdr>
      <w:tabs>
        <w:tab w:val="clear" w:pos="4680"/>
        <w:tab w:val="center" w:pos="4500"/>
      </w:tabs>
      <w:rPr>
        <w:rFonts w:ascii="Cambria" w:hAnsi="Cambria"/>
        <w:sz w:val="16"/>
        <w:szCs w:val="16"/>
      </w:rPr>
    </w:pPr>
    <w:r>
      <w:rPr>
        <w:rFonts w:ascii="Cambria" w:hAnsi="Cambria"/>
        <w:sz w:val="16"/>
        <w:szCs w:val="16"/>
      </w:rPr>
      <w:t>ADV Part 2A – Firm Brochure</w:t>
    </w:r>
    <w:r>
      <w:rPr>
        <w:rFonts w:ascii="Cambria" w:hAnsi="Cambria"/>
        <w:sz w:val="16"/>
        <w:szCs w:val="16"/>
      </w:rPr>
      <w:tab/>
    </w:r>
    <w:r>
      <w:rPr>
        <w:rFonts w:ascii="Cambria" w:hAnsi="Cambria"/>
        <w:sz w:val="16"/>
        <w:szCs w:val="16"/>
      </w:rPr>
      <w:t xml:space="preserve">Page </w:t>
    </w:r>
    <w:r w:rsidRPr="00987EB2">
      <w:rPr>
        <w:rFonts w:ascii="Cambria" w:hAnsi="Cambria"/>
        <w:sz w:val="16"/>
        <w:szCs w:val="16"/>
      </w:rPr>
      <w:fldChar w:fldCharType="begin"/>
    </w:r>
    <w:r w:rsidRPr="00987EB2">
      <w:rPr>
        <w:rFonts w:ascii="Cambria" w:hAnsi="Cambria"/>
        <w:sz w:val="16"/>
        <w:szCs w:val="16"/>
      </w:rPr>
      <w:instrText xml:space="preserve"> PAGE   \* MERGEFORMAT </w:instrText>
    </w:r>
    <w:r w:rsidRPr="00987EB2">
      <w:rPr>
        <w:rFonts w:ascii="Cambria" w:hAnsi="Cambria"/>
        <w:sz w:val="16"/>
        <w:szCs w:val="16"/>
      </w:rPr>
      <w:fldChar w:fldCharType="separate"/>
    </w:r>
    <w:r w:rsidR="00FF7B2E">
      <w:rPr>
        <w:rFonts w:ascii="Cambria" w:hAnsi="Cambria"/>
        <w:noProof/>
        <w:sz w:val="16"/>
        <w:szCs w:val="16"/>
      </w:rPr>
      <w:t>20</w:t>
    </w:r>
    <w:r w:rsidRPr="00987EB2">
      <w:rPr>
        <w:rFonts w:ascii="Cambria" w:hAnsi="Cambria"/>
        <w:sz w:val="16"/>
        <w:szCs w:val="16"/>
      </w:rPr>
      <w:fldChar w:fldCharType="end"/>
    </w:r>
    <w:r>
      <w:rPr>
        <w:rFonts w:ascii="Cambria" w:hAnsi="Cambria"/>
        <w:sz w:val="16"/>
        <w:szCs w:val="16"/>
      </w:rPr>
      <w:tab/>
    </w:r>
    <w:r w:rsidRPr="0016608D">
      <w:rPr>
        <w:rFonts w:ascii="Cambria" w:hAnsi="Cambria"/>
        <w:bCs/>
        <w:sz w:val="16"/>
        <w:szCs w:val="16"/>
      </w:rPr>
      <w:t>Thomas Leo Advisory,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08D" w:rsidP="00C8256A" w:rsidRDefault="0016608D" w14:paraId="4EDA684E" w14:textId="77777777">
      <w:r>
        <w:separator/>
      </w:r>
    </w:p>
  </w:footnote>
  <w:footnote w:type="continuationSeparator" w:id="0">
    <w:p w:rsidR="0016608D" w:rsidP="00C8256A" w:rsidRDefault="0016608D" w14:paraId="570B2209" w14:textId="77777777">
      <w:r>
        <w:continuationSeparator/>
      </w:r>
    </w:p>
  </w:footnote>
  <w:footnote w:id="1">
    <w:p w:rsidRPr="00145889" w:rsidR="0016608D" w:rsidP="006847BE" w:rsidRDefault="0016608D" w14:paraId="2B708596" w14:textId="77777777">
      <w:pPr>
        <w:pStyle w:val="FootnoteText"/>
        <w:jc w:val="both"/>
        <w:rPr>
          <w:rFonts w:ascii="Cambria" w:hAnsi="Cambria"/>
          <w:sz w:val="16"/>
          <w:szCs w:val="16"/>
        </w:rPr>
      </w:pPr>
      <w:r w:rsidRPr="00145889">
        <w:rPr>
          <w:rStyle w:val="FootnoteReference"/>
          <w:rFonts w:ascii="Cambria" w:hAnsi="Cambria"/>
          <w:sz w:val="16"/>
          <w:szCs w:val="16"/>
        </w:rPr>
        <w:footnoteRef/>
      </w:r>
      <w:r w:rsidRPr="00145889">
        <w:rPr>
          <w:rFonts w:ascii="Cambria" w:hAnsi="Cambria"/>
          <w:sz w:val="16"/>
          <w:szCs w:val="16"/>
        </w:rPr>
        <w:t xml:space="preserve"> </w:t>
      </w:r>
      <w:r w:rsidRPr="00145889">
        <w:rPr>
          <w:rFonts w:ascii="Cambria" w:hAnsi="Cambria"/>
          <w:spacing w:val="-3"/>
          <w:sz w:val="16"/>
          <w:szCs w:val="16"/>
        </w:rPr>
        <w:t>For purposes of the policy, our associate’s personal account generally includes any account (a) in the name of our associate, his/her spouse, his/her minor children or other dependents residing in the same household, (b) for which our associate is a trustee or executor, or (c) which our associate controls, including our client accounts which our associate controls and/or a member of his/her household has a direct or indirect beneficial interest 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4B0"/>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13BD"/>
    <w:multiLevelType w:val="hybridMultilevel"/>
    <w:tmpl w:val="C4187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2456E4"/>
    <w:multiLevelType w:val="hybridMultilevel"/>
    <w:tmpl w:val="5F327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9F3435"/>
    <w:multiLevelType w:val="hybridMultilevel"/>
    <w:tmpl w:val="32A68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62A0A"/>
    <w:multiLevelType w:val="hybridMultilevel"/>
    <w:tmpl w:val="D6CCD20A"/>
    <w:lvl w:ilvl="0" w:tplc="04090001">
      <w:start w:val="1"/>
      <w:numFmt w:val="bullet"/>
      <w:lvlText w:val=""/>
      <w:lvlJc w:val="left"/>
      <w:pPr>
        <w:ind w:left="144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8416D6"/>
    <w:multiLevelType w:val="multilevel"/>
    <w:tmpl w:val="8AEAA5D4"/>
    <w:lvl w:ilvl="0">
      <w:start w:val="1"/>
      <w:numFmt w:val="upperRoman"/>
      <w:pStyle w:val="Heading1"/>
      <w:lvlText w:val="%1."/>
      <w:lvlJc w:val="left"/>
      <w:pPr>
        <w:tabs>
          <w:tab w:val="num" w:pos="720"/>
        </w:tabs>
        <w:ind w:left="720" w:hanging="720"/>
      </w:pPr>
      <w:rPr>
        <w:rFonts w:hint="default" w:ascii="Arial" w:hAnsi="Arial"/>
        <w:b/>
        <w:i w:val="0"/>
        <w:sz w:val="20"/>
        <w:u w:val="none"/>
      </w:rPr>
    </w:lvl>
    <w:lvl w:ilvl="1">
      <w:start w:val="1"/>
      <w:numFmt w:val="upperLetter"/>
      <w:pStyle w:val="Heading2"/>
      <w:lvlText w:val="%2."/>
      <w:lvlJc w:val="left"/>
      <w:pPr>
        <w:tabs>
          <w:tab w:val="num" w:pos="1440"/>
        </w:tabs>
        <w:ind w:left="1440" w:hanging="720"/>
      </w:pPr>
      <w:rPr>
        <w:rFonts w:hint="default" w:ascii="Arial" w:hAnsi="Arial"/>
        <w:b/>
        <w:i w:val="0"/>
        <w:caps/>
        <w:sz w:val="20"/>
        <w:u w:val="none"/>
      </w:rPr>
    </w:lvl>
    <w:lvl w:ilvl="2">
      <w:start w:val="1"/>
      <w:numFmt w:val="decimal"/>
      <w:pStyle w:val="Heading3"/>
      <w:lvlText w:val="%3."/>
      <w:lvlJc w:val="left"/>
      <w:pPr>
        <w:tabs>
          <w:tab w:val="num" w:pos="2160"/>
        </w:tabs>
        <w:ind w:left="2160" w:hanging="720"/>
      </w:pPr>
      <w:rPr>
        <w:rFonts w:hint="default" w:ascii="Arial" w:hAnsi="Arial"/>
        <w:b w:val="0"/>
        <w:i w:val="0"/>
        <w:sz w:val="20"/>
        <w:u w:val="none"/>
      </w:rPr>
    </w:lvl>
    <w:lvl w:ilvl="3">
      <w:start w:val="1"/>
      <w:numFmt w:val="lowerLetter"/>
      <w:pStyle w:val="Heading4"/>
      <w:lvlText w:val="%4."/>
      <w:lvlJc w:val="left"/>
      <w:pPr>
        <w:tabs>
          <w:tab w:val="num" w:pos="2520"/>
        </w:tabs>
        <w:ind w:left="2520" w:hanging="360"/>
      </w:pPr>
      <w:rPr>
        <w:rFonts w:hint="default" w:ascii="Arial" w:hAnsi="Arial"/>
        <w:b w:val="0"/>
        <w:i w:val="0"/>
        <w:caps w:val="0"/>
        <w:strike w:val="0"/>
        <w:dstrike w:val="0"/>
        <w:vanish w:val="0"/>
        <w:sz w:val="20"/>
        <w:u w:val="none"/>
        <w:vertAlign w:val="baseline"/>
      </w:rPr>
    </w:lvl>
    <w:lvl w:ilvl="4">
      <w:start w:val="1"/>
      <w:numFmt w:val="lowerRoman"/>
      <w:pStyle w:val="Heading5"/>
      <w:lvlText w:val="%5."/>
      <w:lvlJc w:val="left"/>
      <w:pPr>
        <w:tabs>
          <w:tab w:val="num" w:pos="3240"/>
        </w:tabs>
        <w:ind w:left="2520" w:firstLine="0"/>
      </w:pPr>
      <w:rPr>
        <w:rFonts w:hint="default" w:ascii="Arial" w:hAnsi="Arial"/>
        <w:b w:val="0"/>
        <w:i w:val="0"/>
        <w:sz w:val="20"/>
        <w:u w:val="none"/>
      </w:rPr>
    </w:lvl>
    <w:lvl w:ilvl="5">
      <w:start w:val="1"/>
      <w:numFmt w:val="upperLetter"/>
      <w:pStyle w:val="Heading6"/>
      <w:lvlText w:val="%6."/>
      <w:lvlJc w:val="left"/>
      <w:pPr>
        <w:tabs>
          <w:tab w:val="num" w:pos="2160"/>
        </w:tabs>
        <w:ind w:left="2160" w:hanging="720"/>
      </w:pPr>
      <w:rPr>
        <w:rFonts w:hint="default" w:ascii="Arial" w:hAnsi="Arial"/>
        <w:b w:val="0"/>
        <w:i w:val="0"/>
        <w:sz w:val="20"/>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4038C6"/>
    <w:multiLevelType w:val="hybridMultilevel"/>
    <w:tmpl w:val="464AFA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2A2B69"/>
    <w:multiLevelType w:val="hybridMultilevel"/>
    <w:tmpl w:val="447A8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B50E63"/>
    <w:multiLevelType w:val="hybridMultilevel"/>
    <w:tmpl w:val="25AEF9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723721"/>
    <w:multiLevelType w:val="hybridMultilevel"/>
    <w:tmpl w:val="2E3E8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D1271"/>
    <w:multiLevelType w:val="singleLevel"/>
    <w:tmpl w:val="A56EEC5E"/>
    <w:lvl w:ilvl="0">
      <w:start w:val="1"/>
      <w:numFmt w:val="upperRoman"/>
      <w:pStyle w:val="ListNumAppend"/>
      <w:lvlText w:val="%1."/>
      <w:lvlJc w:val="left"/>
      <w:pPr>
        <w:tabs>
          <w:tab w:val="num" w:pos="720"/>
        </w:tabs>
        <w:ind w:left="720" w:hanging="720"/>
      </w:pPr>
      <w:rPr>
        <w:rFonts w:hint="default" w:ascii="Arial" w:hAnsi="Arial"/>
        <w:b/>
        <w:i w:val="0"/>
        <w:sz w:val="20"/>
        <w:u w:val="none"/>
      </w:rPr>
    </w:lvl>
  </w:abstractNum>
  <w:abstractNum w:abstractNumId="11" w15:restartNumberingAfterBreak="0">
    <w:nsid w:val="278C5D11"/>
    <w:multiLevelType w:val="hybridMultilevel"/>
    <w:tmpl w:val="59E2886C"/>
    <w:lvl w:ilvl="0" w:tplc="8076D070">
      <w:numFmt w:val="bullet"/>
      <w:lvlText w:val=""/>
      <w:lvlJc w:val="left"/>
      <w:pPr>
        <w:ind w:left="720" w:hanging="360"/>
      </w:pPr>
      <w:rPr>
        <w:rFonts w:hint="default" w:ascii="Symbol" w:hAnsi="Symbol" w:cs="Courier Ne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352296"/>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13EB0"/>
    <w:multiLevelType w:val="hybridMultilevel"/>
    <w:tmpl w:val="4CEECC5C"/>
    <w:lvl w:ilvl="0" w:tplc="8076D070">
      <w:numFmt w:val="bullet"/>
      <w:lvlText w:val=""/>
      <w:lvlJc w:val="left"/>
      <w:pPr>
        <w:ind w:left="720" w:hanging="360"/>
      </w:pPr>
      <w:rPr>
        <w:rFonts w:hint="default" w:ascii="Symbol" w:hAnsi="Symbol" w:cs="Courier Ne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5338D3"/>
    <w:multiLevelType w:val="hybridMultilevel"/>
    <w:tmpl w:val="245059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01D046A"/>
    <w:multiLevelType w:val="hybridMultilevel"/>
    <w:tmpl w:val="FEA6B11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321626CA"/>
    <w:multiLevelType w:val="hybridMultilevel"/>
    <w:tmpl w:val="B6EC0F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4F25D33"/>
    <w:multiLevelType w:val="hybridMultilevel"/>
    <w:tmpl w:val="64E2C3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7C66BDE"/>
    <w:multiLevelType w:val="hybridMultilevel"/>
    <w:tmpl w:val="DA46495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E947D0"/>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F51C4"/>
    <w:multiLevelType w:val="hybridMultilevel"/>
    <w:tmpl w:val="D8CE00B0"/>
    <w:lvl w:ilvl="0" w:tplc="04090001">
      <w:start w:val="1"/>
      <w:numFmt w:val="bullet"/>
      <w:lvlText w:val=""/>
      <w:lvlJc w:val="left"/>
      <w:pPr>
        <w:ind w:left="720" w:hanging="360"/>
      </w:pPr>
      <w:rPr>
        <w:rFonts w:hint="default" w:ascii="Symbol" w:hAnsi="Symbol"/>
      </w:rPr>
    </w:lvl>
    <w:lvl w:ilvl="1" w:tplc="B19A155A">
      <w:numFmt w:val="bullet"/>
      <w:lvlText w:val="•"/>
      <w:lvlJc w:val="left"/>
      <w:pPr>
        <w:ind w:left="1815" w:hanging="735"/>
      </w:pPr>
      <w:rPr>
        <w:rFonts w:hint="default" w:ascii="Times New Roman" w:hAnsi="Times New Roman" w:eastAsia="Calibri"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4081BF0"/>
    <w:multiLevelType w:val="hybridMultilevel"/>
    <w:tmpl w:val="43D4B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42D3850"/>
    <w:multiLevelType w:val="hybridMultilevel"/>
    <w:tmpl w:val="257691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89B2EAB"/>
    <w:multiLevelType w:val="hybridMultilevel"/>
    <w:tmpl w:val="32A68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45096"/>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F5C67"/>
    <w:multiLevelType w:val="hybridMultilevel"/>
    <w:tmpl w:val="2C24B274"/>
    <w:lvl w:ilvl="0" w:tplc="04090001">
      <w:start w:val="1"/>
      <w:numFmt w:val="bullet"/>
      <w:lvlText w:val=""/>
      <w:lvlJc w:val="left"/>
      <w:pPr>
        <w:ind w:left="108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F62283A"/>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45A14"/>
    <w:multiLevelType w:val="hybridMultilevel"/>
    <w:tmpl w:val="C06A5182"/>
    <w:lvl w:ilvl="0" w:tplc="04090015">
      <w:start w:val="1"/>
      <w:numFmt w:val="upperLetter"/>
      <w:lvlText w:val="%1."/>
      <w:lvlJc w:val="left"/>
      <w:pPr>
        <w:ind w:left="720" w:hanging="360"/>
      </w:pPr>
    </w:lvl>
    <w:lvl w:ilvl="1" w:tplc="9412DDEA">
      <w:start w:val="1"/>
      <w:numFmt w:val="lowerRoman"/>
      <w:lvlText w:val="(%2)"/>
      <w:lvlJc w:val="left"/>
      <w:pPr>
        <w:ind w:left="1800" w:hanging="720"/>
      </w:pPr>
      <w:rPr>
        <w:rFonts w:hint="default"/>
        <w:u w:val="none"/>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B17C4"/>
    <w:multiLevelType w:val="hybridMultilevel"/>
    <w:tmpl w:val="32A68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B601D"/>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36CF5"/>
    <w:multiLevelType w:val="hybridMultilevel"/>
    <w:tmpl w:val="A580A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8AB4661"/>
    <w:multiLevelType w:val="hybridMultilevel"/>
    <w:tmpl w:val="512A305E"/>
    <w:lvl w:ilvl="0" w:tplc="8076D070">
      <w:numFmt w:val="bullet"/>
      <w:lvlText w:val=""/>
      <w:lvlJc w:val="left"/>
      <w:pPr>
        <w:ind w:left="720" w:hanging="360"/>
      </w:pPr>
      <w:rPr>
        <w:rFonts w:hint="default" w:ascii="Symbol" w:hAnsi="Symbol" w:cs="Courier Ne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D645230"/>
    <w:multiLevelType w:val="hybridMultilevel"/>
    <w:tmpl w:val="83164DC4"/>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33" w15:restartNumberingAfterBreak="0">
    <w:nsid w:val="6ED95B76"/>
    <w:multiLevelType w:val="hybridMultilevel"/>
    <w:tmpl w:val="464AFA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FBD3F0"/>
    <w:multiLevelType w:val="hybridMultilevel"/>
    <w:tmpl w:val="BF6B9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548187C"/>
    <w:multiLevelType w:val="hybridMultilevel"/>
    <w:tmpl w:val="DAFA2E3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D9B76A8"/>
    <w:multiLevelType w:val="hybridMultilevel"/>
    <w:tmpl w:val="A2BCAF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F30227A"/>
    <w:multiLevelType w:val="hybridMultilevel"/>
    <w:tmpl w:val="32A68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1"/>
  </w:num>
  <w:num w:numId="3">
    <w:abstractNumId w:val="36"/>
  </w:num>
  <w:num w:numId="4">
    <w:abstractNumId w:val="2"/>
  </w:num>
  <w:num w:numId="5">
    <w:abstractNumId w:val="10"/>
  </w:num>
  <w:num w:numId="6">
    <w:abstractNumId w:val="5"/>
  </w:num>
  <w:num w:numId="7">
    <w:abstractNumId w:val="15"/>
  </w:num>
  <w:num w:numId="8">
    <w:abstractNumId w:val="23"/>
  </w:num>
  <w:num w:numId="9">
    <w:abstractNumId w:val="16"/>
  </w:num>
  <w:num w:numId="10">
    <w:abstractNumId w:val="35"/>
  </w:num>
  <w:num w:numId="11">
    <w:abstractNumId w:val="7"/>
  </w:num>
  <w:num w:numId="12">
    <w:abstractNumId w:val="27"/>
  </w:num>
  <w:num w:numId="13">
    <w:abstractNumId w:val="29"/>
  </w:num>
  <w:num w:numId="14">
    <w:abstractNumId w:val="12"/>
  </w:num>
  <w:num w:numId="15">
    <w:abstractNumId w:val="19"/>
  </w:num>
  <w:num w:numId="16">
    <w:abstractNumId w:val="3"/>
  </w:num>
  <w:num w:numId="17">
    <w:abstractNumId w:val="0"/>
  </w:num>
  <w:num w:numId="18">
    <w:abstractNumId w:val="6"/>
  </w:num>
  <w:num w:numId="19">
    <w:abstractNumId w:val="22"/>
  </w:num>
  <w:num w:numId="20">
    <w:abstractNumId w:val="9"/>
  </w:num>
  <w:num w:numId="21">
    <w:abstractNumId w:val="17"/>
  </w:num>
  <w:num w:numId="22">
    <w:abstractNumId w:val="8"/>
  </w:num>
  <w:num w:numId="23">
    <w:abstractNumId w:val="33"/>
  </w:num>
  <w:num w:numId="24">
    <w:abstractNumId w:val="28"/>
  </w:num>
  <w:num w:numId="25">
    <w:abstractNumId w:val="37"/>
  </w:num>
  <w:num w:numId="26">
    <w:abstractNumId w:val="14"/>
  </w:num>
  <w:num w:numId="27">
    <w:abstractNumId w:val="31"/>
  </w:num>
  <w:num w:numId="28">
    <w:abstractNumId w:val="11"/>
  </w:num>
  <w:num w:numId="29">
    <w:abstractNumId w:val="13"/>
  </w:num>
  <w:num w:numId="30">
    <w:abstractNumId w:val="30"/>
  </w:num>
  <w:num w:numId="31">
    <w:abstractNumId w:val="20"/>
  </w:num>
  <w:num w:numId="32">
    <w:abstractNumId w:val="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4"/>
  </w:num>
  <w:num w:numId="38">
    <w:abstractNumId w:val="3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57"/>
    <w:rsid w:val="00002FAC"/>
    <w:rsid w:val="00003071"/>
    <w:rsid w:val="00005642"/>
    <w:rsid w:val="0000641E"/>
    <w:rsid w:val="000077E0"/>
    <w:rsid w:val="00010223"/>
    <w:rsid w:val="0001081D"/>
    <w:rsid w:val="000131F1"/>
    <w:rsid w:val="000154F1"/>
    <w:rsid w:val="00015843"/>
    <w:rsid w:val="00017619"/>
    <w:rsid w:val="00020B82"/>
    <w:rsid w:val="00021F85"/>
    <w:rsid w:val="000224BB"/>
    <w:rsid w:val="00022B28"/>
    <w:rsid w:val="0002356D"/>
    <w:rsid w:val="00023B92"/>
    <w:rsid w:val="00023BFB"/>
    <w:rsid w:val="000245B4"/>
    <w:rsid w:val="000272BE"/>
    <w:rsid w:val="00031ABB"/>
    <w:rsid w:val="000332E7"/>
    <w:rsid w:val="000354CB"/>
    <w:rsid w:val="00036DAD"/>
    <w:rsid w:val="00041194"/>
    <w:rsid w:val="000511BB"/>
    <w:rsid w:val="0005524A"/>
    <w:rsid w:val="00056402"/>
    <w:rsid w:val="000573EE"/>
    <w:rsid w:val="00060BDB"/>
    <w:rsid w:val="000622A8"/>
    <w:rsid w:val="00066088"/>
    <w:rsid w:val="00066A2F"/>
    <w:rsid w:val="000715D6"/>
    <w:rsid w:val="000717F7"/>
    <w:rsid w:val="0008078F"/>
    <w:rsid w:val="00082301"/>
    <w:rsid w:val="000834EA"/>
    <w:rsid w:val="00084BB7"/>
    <w:rsid w:val="00085E44"/>
    <w:rsid w:val="00087C17"/>
    <w:rsid w:val="000905B6"/>
    <w:rsid w:val="000907AB"/>
    <w:rsid w:val="00094905"/>
    <w:rsid w:val="00094B66"/>
    <w:rsid w:val="000A14FC"/>
    <w:rsid w:val="000A1999"/>
    <w:rsid w:val="000A2D62"/>
    <w:rsid w:val="000A7704"/>
    <w:rsid w:val="000A784B"/>
    <w:rsid w:val="000B1292"/>
    <w:rsid w:val="000B12B3"/>
    <w:rsid w:val="000B28FF"/>
    <w:rsid w:val="000B2CE7"/>
    <w:rsid w:val="000B2ECF"/>
    <w:rsid w:val="000B3150"/>
    <w:rsid w:val="000C24EF"/>
    <w:rsid w:val="000C2933"/>
    <w:rsid w:val="000C4E20"/>
    <w:rsid w:val="000C6A96"/>
    <w:rsid w:val="000C747C"/>
    <w:rsid w:val="000C7F0D"/>
    <w:rsid w:val="000D3EEF"/>
    <w:rsid w:val="000D5D81"/>
    <w:rsid w:val="000E0F3F"/>
    <w:rsid w:val="000E5283"/>
    <w:rsid w:val="000E5B5F"/>
    <w:rsid w:val="000F1C89"/>
    <w:rsid w:val="000F1E42"/>
    <w:rsid w:val="000F3A4A"/>
    <w:rsid w:val="00100B94"/>
    <w:rsid w:val="001029DE"/>
    <w:rsid w:val="00103828"/>
    <w:rsid w:val="00103B01"/>
    <w:rsid w:val="001064D9"/>
    <w:rsid w:val="00106A7C"/>
    <w:rsid w:val="00107647"/>
    <w:rsid w:val="001108BB"/>
    <w:rsid w:val="00110B8E"/>
    <w:rsid w:val="00113D3C"/>
    <w:rsid w:val="00113DF9"/>
    <w:rsid w:val="001145A7"/>
    <w:rsid w:val="00115AD4"/>
    <w:rsid w:val="0011696E"/>
    <w:rsid w:val="00116EE4"/>
    <w:rsid w:val="001221B6"/>
    <w:rsid w:val="00122620"/>
    <w:rsid w:val="001242CE"/>
    <w:rsid w:val="0012540A"/>
    <w:rsid w:val="00130020"/>
    <w:rsid w:val="00130A7B"/>
    <w:rsid w:val="00131178"/>
    <w:rsid w:val="00132ED9"/>
    <w:rsid w:val="00140327"/>
    <w:rsid w:val="00143440"/>
    <w:rsid w:val="00145889"/>
    <w:rsid w:val="00151E0D"/>
    <w:rsid w:val="0015546F"/>
    <w:rsid w:val="00157A0A"/>
    <w:rsid w:val="00164E81"/>
    <w:rsid w:val="0016608D"/>
    <w:rsid w:val="001664CE"/>
    <w:rsid w:val="001708C7"/>
    <w:rsid w:val="00171AEB"/>
    <w:rsid w:val="00173A91"/>
    <w:rsid w:val="0018173E"/>
    <w:rsid w:val="00190D1E"/>
    <w:rsid w:val="00194D5F"/>
    <w:rsid w:val="001976A6"/>
    <w:rsid w:val="00197C7E"/>
    <w:rsid w:val="001A1DA4"/>
    <w:rsid w:val="001A3E9C"/>
    <w:rsid w:val="001A5011"/>
    <w:rsid w:val="001A5922"/>
    <w:rsid w:val="001A6970"/>
    <w:rsid w:val="001B6E10"/>
    <w:rsid w:val="001C00CD"/>
    <w:rsid w:val="001C1B4B"/>
    <w:rsid w:val="001C218D"/>
    <w:rsid w:val="001C3675"/>
    <w:rsid w:val="001C3F90"/>
    <w:rsid w:val="001D07DF"/>
    <w:rsid w:val="001D1096"/>
    <w:rsid w:val="001D17F0"/>
    <w:rsid w:val="001D277A"/>
    <w:rsid w:val="001D2BA4"/>
    <w:rsid w:val="001D40F6"/>
    <w:rsid w:val="001D57B1"/>
    <w:rsid w:val="001D7C02"/>
    <w:rsid w:val="001E09E7"/>
    <w:rsid w:val="001E6DF2"/>
    <w:rsid w:val="001F113E"/>
    <w:rsid w:val="001F3349"/>
    <w:rsid w:val="001F33AD"/>
    <w:rsid w:val="001F51F0"/>
    <w:rsid w:val="001F5E2E"/>
    <w:rsid w:val="0020256A"/>
    <w:rsid w:val="0020592D"/>
    <w:rsid w:val="00207D5D"/>
    <w:rsid w:val="00207EFD"/>
    <w:rsid w:val="0021121B"/>
    <w:rsid w:val="00211D70"/>
    <w:rsid w:val="00212E1C"/>
    <w:rsid w:val="0021412D"/>
    <w:rsid w:val="002141DE"/>
    <w:rsid w:val="00216F43"/>
    <w:rsid w:val="00221F1E"/>
    <w:rsid w:val="002234DD"/>
    <w:rsid w:val="00225993"/>
    <w:rsid w:val="00227587"/>
    <w:rsid w:val="00231633"/>
    <w:rsid w:val="00233FF1"/>
    <w:rsid w:val="002341FC"/>
    <w:rsid w:val="00237C61"/>
    <w:rsid w:val="002439D2"/>
    <w:rsid w:val="00243A23"/>
    <w:rsid w:val="00243C3F"/>
    <w:rsid w:val="00244AC6"/>
    <w:rsid w:val="00246032"/>
    <w:rsid w:val="00246D95"/>
    <w:rsid w:val="00247B39"/>
    <w:rsid w:val="002512E8"/>
    <w:rsid w:val="00254BBC"/>
    <w:rsid w:val="002571E5"/>
    <w:rsid w:val="00257BCA"/>
    <w:rsid w:val="00262779"/>
    <w:rsid w:val="002630BF"/>
    <w:rsid w:val="002654F5"/>
    <w:rsid w:val="00267FBA"/>
    <w:rsid w:val="00270714"/>
    <w:rsid w:val="0027089A"/>
    <w:rsid w:val="00274B0F"/>
    <w:rsid w:val="00275CE3"/>
    <w:rsid w:val="002767E6"/>
    <w:rsid w:val="002771D5"/>
    <w:rsid w:val="00280B1C"/>
    <w:rsid w:val="0028564D"/>
    <w:rsid w:val="00285A23"/>
    <w:rsid w:val="0029043E"/>
    <w:rsid w:val="002A2266"/>
    <w:rsid w:val="002A6870"/>
    <w:rsid w:val="002A7293"/>
    <w:rsid w:val="002B1F42"/>
    <w:rsid w:val="002B2068"/>
    <w:rsid w:val="002B262F"/>
    <w:rsid w:val="002B2BF3"/>
    <w:rsid w:val="002B4904"/>
    <w:rsid w:val="002B5149"/>
    <w:rsid w:val="002B56EB"/>
    <w:rsid w:val="002B73B0"/>
    <w:rsid w:val="002B7D7C"/>
    <w:rsid w:val="002C029B"/>
    <w:rsid w:val="002C128C"/>
    <w:rsid w:val="002C21D9"/>
    <w:rsid w:val="002C47C4"/>
    <w:rsid w:val="002D0861"/>
    <w:rsid w:val="002D3295"/>
    <w:rsid w:val="002D445E"/>
    <w:rsid w:val="002D58D7"/>
    <w:rsid w:val="002D6023"/>
    <w:rsid w:val="002D611B"/>
    <w:rsid w:val="002D6DA0"/>
    <w:rsid w:val="002D7412"/>
    <w:rsid w:val="002E0629"/>
    <w:rsid w:val="002E230F"/>
    <w:rsid w:val="002E26EA"/>
    <w:rsid w:val="002E3C30"/>
    <w:rsid w:val="002E5C4E"/>
    <w:rsid w:val="002E62E0"/>
    <w:rsid w:val="002F2CA6"/>
    <w:rsid w:val="002F30DD"/>
    <w:rsid w:val="002F5799"/>
    <w:rsid w:val="002F738A"/>
    <w:rsid w:val="00300578"/>
    <w:rsid w:val="00300D09"/>
    <w:rsid w:val="00307604"/>
    <w:rsid w:val="0031548B"/>
    <w:rsid w:val="00323EAB"/>
    <w:rsid w:val="0032638C"/>
    <w:rsid w:val="003309FF"/>
    <w:rsid w:val="00331D61"/>
    <w:rsid w:val="00331F01"/>
    <w:rsid w:val="003330F0"/>
    <w:rsid w:val="00334987"/>
    <w:rsid w:val="003352FF"/>
    <w:rsid w:val="00341CED"/>
    <w:rsid w:val="00342A26"/>
    <w:rsid w:val="00342B03"/>
    <w:rsid w:val="00342B78"/>
    <w:rsid w:val="00343AE5"/>
    <w:rsid w:val="00347CF9"/>
    <w:rsid w:val="00350362"/>
    <w:rsid w:val="0035218F"/>
    <w:rsid w:val="0036575A"/>
    <w:rsid w:val="003676EC"/>
    <w:rsid w:val="0038350D"/>
    <w:rsid w:val="00383B24"/>
    <w:rsid w:val="00384C48"/>
    <w:rsid w:val="00394BA9"/>
    <w:rsid w:val="0039543D"/>
    <w:rsid w:val="00396E6D"/>
    <w:rsid w:val="00397AD5"/>
    <w:rsid w:val="003A0B31"/>
    <w:rsid w:val="003A0BC7"/>
    <w:rsid w:val="003A341D"/>
    <w:rsid w:val="003A466E"/>
    <w:rsid w:val="003B0364"/>
    <w:rsid w:val="003B1D3A"/>
    <w:rsid w:val="003B514E"/>
    <w:rsid w:val="003B652B"/>
    <w:rsid w:val="003B79C0"/>
    <w:rsid w:val="003C133E"/>
    <w:rsid w:val="003C1BA3"/>
    <w:rsid w:val="003C3AB3"/>
    <w:rsid w:val="003D1A2D"/>
    <w:rsid w:val="003D1BEF"/>
    <w:rsid w:val="003D6068"/>
    <w:rsid w:val="003D64B5"/>
    <w:rsid w:val="003D6C3E"/>
    <w:rsid w:val="003E2A00"/>
    <w:rsid w:val="003E3B31"/>
    <w:rsid w:val="003E3E64"/>
    <w:rsid w:val="003E6F54"/>
    <w:rsid w:val="003F4BF5"/>
    <w:rsid w:val="003F645E"/>
    <w:rsid w:val="00401BE2"/>
    <w:rsid w:val="00403994"/>
    <w:rsid w:val="004124A0"/>
    <w:rsid w:val="00412749"/>
    <w:rsid w:val="004136B6"/>
    <w:rsid w:val="00415D27"/>
    <w:rsid w:val="004160FF"/>
    <w:rsid w:val="00420156"/>
    <w:rsid w:val="00421C16"/>
    <w:rsid w:val="00422B8A"/>
    <w:rsid w:val="00424C81"/>
    <w:rsid w:val="004260E9"/>
    <w:rsid w:val="00432834"/>
    <w:rsid w:val="004329E5"/>
    <w:rsid w:val="00433294"/>
    <w:rsid w:val="0043421C"/>
    <w:rsid w:val="0043667A"/>
    <w:rsid w:val="00437BCB"/>
    <w:rsid w:val="004401CA"/>
    <w:rsid w:val="004402CB"/>
    <w:rsid w:val="00445AF0"/>
    <w:rsid w:val="00446698"/>
    <w:rsid w:val="004549CF"/>
    <w:rsid w:val="00454AA1"/>
    <w:rsid w:val="00456D0C"/>
    <w:rsid w:val="004608AC"/>
    <w:rsid w:val="004619F4"/>
    <w:rsid w:val="004643D1"/>
    <w:rsid w:val="00465B02"/>
    <w:rsid w:val="004664A4"/>
    <w:rsid w:val="004708E2"/>
    <w:rsid w:val="00474927"/>
    <w:rsid w:val="00476B43"/>
    <w:rsid w:val="00485F42"/>
    <w:rsid w:val="00493843"/>
    <w:rsid w:val="00493A51"/>
    <w:rsid w:val="00495080"/>
    <w:rsid w:val="004A09D7"/>
    <w:rsid w:val="004A1520"/>
    <w:rsid w:val="004A1924"/>
    <w:rsid w:val="004A2397"/>
    <w:rsid w:val="004A3980"/>
    <w:rsid w:val="004A4228"/>
    <w:rsid w:val="004A764E"/>
    <w:rsid w:val="004B1867"/>
    <w:rsid w:val="004B4B42"/>
    <w:rsid w:val="004C041E"/>
    <w:rsid w:val="004C3F86"/>
    <w:rsid w:val="004C5E70"/>
    <w:rsid w:val="004D049A"/>
    <w:rsid w:val="004D189A"/>
    <w:rsid w:val="004E43C0"/>
    <w:rsid w:val="004F12E3"/>
    <w:rsid w:val="004F1776"/>
    <w:rsid w:val="004F6C74"/>
    <w:rsid w:val="004F7180"/>
    <w:rsid w:val="005026FE"/>
    <w:rsid w:val="0050601C"/>
    <w:rsid w:val="00506315"/>
    <w:rsid w:val="00507848"/>
    <w:rsid w:val="00511521"/>
    <w:rsid w:val="005202A7"/>
    <w:rsid w:val="00525144"/>
    <w:rsid w:val="00526FD4"/>
    <w:rsid w:val="00530DB3"/>
    <w:rsid w:val="00532FB4"/>
    <w:rsid w:val="00533711"/>
    <w:rsid w:val="005374DF"/>
    <w:rsid w:val="00541346"/>
    <w:rsid w:val="00542C98"/>
    <w:rsid w:val="005445DA"/>
    <w:rsid w:val="00545280"/>
    <w:rsid w:val="00545AD8"/>
    <w:rsid w:val="00546364"/>
    <w:rsid w:val="00550F57"/>
    <w:rsid w:val="00560F30"/>
    <w:rsid w:val="005639DC"/>
    <w:rsid w:val="00564206"/>
    <w:rsid w:val="0056584A"/>
    <w:rsid w:val="00570889"/>
    <w:rsid w:val="00570CF7"/>
    <w:rsid w:val="00571066"/>
    <w:rsid w:val="00571104"/>
    <w:rsid w:val="005711A2"/>
    <w:rsid w:val="0057276D"/>
    <w:rsid w:val="00572D5F"/>
    <w:rsid w:val="005740D1"/>
    <w:rsid w:val="00585CBF"/>
    <w:rsid w:val="00591A6C"/>
    <w:rsid w:val="00592752"/>
    <w:rsid w:val="00592FF3"/>
    <w:rsid w:val="0059363B"/>
    <w:rsid w:val="00593663"/>
    <w:rsid w:val="00594B23"/>
    <w:rsid w:val="00594E59"/>
    <w:rsid w:val="005959F5"/>
    <w:rsid w:val="00597A99"/>
    <w:rsid w:val="005A0A65"/>
    <w:rsid w:val="005A11E3"/>
    <w:rsid w:val="005A1680"/>
    <w:rsid w:val="005A3856"/>
    <w:rsid w:val="005A4D73"/>
    <w:rsid w:val="005A53FF"/>
    <w:rsid w:val="005B2BC7"/>
    <w:rsid w:val="005B352B"/>
    <w:rsid w:val="005B51E6"/>
    <w:rsid w:val="005B7199"/>
    <w:rsid w:val="005C46B0"/>
    <w:rsid w:val="005C4C3D"/>
    <w:rsid w:val="005C7E16"/>
    <w:rsid w:val="005D1B7E"/>
    <w:rsid w:val="005D3B4B"/>
    <w:rsid w:val="005D45B4"/>
    <w:rsid w:val="005D48AE"/>
    <w:rsid w:val="005D6C12"/>
    <w:rsid w:val="005D7A42"/>
    <w:rsid w:val="005E1F5C"/>
    <w:rsid w:val="005E6EC1"/>
    <w:rsid w:val="005F01E8"/>
    <w:rsid w:val="005F122B"/>
    <w:rsid w:val="005F1600"/>
    <w:rsid w:val="005F54FC"/>
    <w:rsid w:val="005F67D4"/>
    <w:rsid w:val="005F6D3C"/>
    <w:rsid w:val="005F71BC"/>
    <w:rsid w:val="0060644A"/>
    <w:rsid w:val="006073FC"/>
    <w:rsid w:val="00610220"/>
    <w:rsid w:val="00611AAF"/>
    <w:rsid w:val="0061201A"/>
    <w:rsid w:val="006132F6"/>
    <w:rsid w:val="00613D27"/>
    <w:rsid w:val="00614284"/>
    <w:rsid w:val="00617A73"/>
    <w:rsid w:val="006249BF"/>
    <w:rsid w:val="00624EE7"/>
    <w:rsid w:val="00633173"/>
    <w:rsid w:val="006338EF"/>
    <w:rsid w:val="00633E84"/>
    <w:rsid w:val="00635ABB"/>
    <w:rsid w:val="0063767A"/>
    <w:rsid w:val="00640A3F"/>
    <w:rsid w:val="0064192D"/>
    <w:rsid w:val="0064318D"/>
    <w:rsid w:val="00644E40"/>
    <w:rsid w:val="00654682"/>
    <w:rsid w:val="0066248A"/>
    <w:rsid w:val="00662B93"/>
    <w:rsid w:val="00663912"/>
    <w:rsid w:val="00665CE1"/>
    <w:rsid w:val="00667548"/>
    <w:rsid w:val="00670EC9"/>
    <w:rsid w:val="006711BD"/>
    <w:rsid w:val="006716A6"/>
    <w:rsid w:val="00671ECC"/>
    <w:rsid w:val="00673171"/>
    <w:rsid w:val="00676AD2"/>
    <w:rsid w:val="00683B47"/>
    <w:rsid w:val="006847BE"/>
    <w:rsid w:val="006860B3"/>
    <w:rsid w:val="006901A0"/>
    <w:rsid w:val="006909D1"/>
    <w:rsid w:val="00695A2E"/>
    <w:rsid w:val="006A3302"/>
    <w:rsid w:val="006B0C1B"/>
    <w:rsid w:val="006B26C5"/>
    <w:rsid w:val="006B2C70"/>
    <w:rsid w:val="006B35CC"/>
    <w:rsid w:val="006B3CE5"/>
    <w:rsid w:val="006B45A5"/>
    <w:rsid w:val="006B5B5D"/>
    <w:rsid w:val="006C0787"/>
    <w:rsid w:val="006C11AC"/>
    <w:rsid w:val="006C26DB"/>
    <w:rsid w:val="006C71DA"/>
    <w:rsid w:val="006D141C"/>
    <w:rsid w:val="006D2585"/>
    <w:rsid w:val="006D2ACA"/>
    <w:rsid w:val="006D701A"/>
    <w:rsid w:val="006D7CA9"/>
    <w:rsid w:val="006E10F5"/>
    <w:rsid w:val="006E20E8"/>
    <w:rsid w:val="006E3A99"/>
    <w:rsid w:val="006E7C44"/>
    <w:rsid w:val="00700941"/>
    <w:rsid w:val="00701244"/>
    <w:rsid w:val="007019EC"/>
    <w:rsid w:val="00704157"/>
    <w:rsid w:val="00704252"/>
    <w:rsid w:val="00705195"/>
    <w:rsid w:val="00707F11"/>
    <w:rsid w:val="00711C5A"/>
    <w:rsid w:val="00712D81"/>
    <w:rsid w:val="0071385F"/>
    <w:rsid w:val="00713B88"/>
    <w:rsid w:val="00715682"/>
    <w:rsid w:val="00724AD2"/>
    <w:rsid w:val="00726FF4"/>
    <w:rsid w:val="0073169E"/>
    <w:rsid w:val="00731877"/>
    <w:rsid w:val="007328DD"/>
    <w:rsid w:val="0073421A"/>
    <w:rsid w:val="007346E8"/>
    <w:rsid w:val="007370A7"/>
    <w:rsid w:val="00746B32"/>
    <w:rsid w:val="00754B26"/>
    <w:rsid w:val="007570DF"/>
    <w:rsid w:val="00757452"/>
    <w:rsid w:val="00764B79"/>
    <w:rsid w:val="0076682C"/>
    <w:rsid w:val="00767B8F"/>
    <w:rsid w:val="00771C7C"/>
    <w:rsid w:val="00775FFC"/>
    <w:rsid w:val="0078103E"/>
    <w:rsid w:val="00785263"/>
    <w:rsid w:val="007854A3"/>
    <w:rsid w:val="00785BAE"/>
    <w:rsid w:val="00790A0A"/>
    <w:rsid w:val="007913F2"/>
    <w:rsid w:val="00792750"/>
    <w:rsid w:val="0079598A"/>
    <w:rsid w:val="007A3708"/>
    <w:rsid w:val="007A5387"/>
    <w:rsid w:val="007B0504"/>
    <w:rsid w:val="007B1002"/>
    <w:rsid w:val="007B3BA2"/>
    <w:rsid w:val="007B70A1"/>
    <w:rsid w:val="007C1955"/>
    <w:rsid w:val="007C1BBC"/>
    <w:rsid w:val="007C477E"/>
    <w:rsid w:val="007C7EF2"/>
    <w:rsid w:val="007D243B"/>
    <w:rsid w:val="007D2F24"/>
    <w:rsid w:val="007D35F6"/>
    <w:rsid w:val="007D4FEE"/>
    <w:rsid w:val="007D5DDB"/>
    <w:rsid w:val="007D626E"/>
    <w:rsid w:val="007D65FB"/>
    <w:rsid w:val="007E265F"/>
    <w:rsid w:val="007E42FE"/>
    <w:rsid w:val="007E6216"/>
    <w:rsid w:val="007E65C1"/>
    <w:rsid w:val="007E6B02"/>
    <w:rsid w:val="007F1A4A"/>
    <w:rsid w:val="0080026D"/>
    <w:rsid w:val="00800927"/>
    <w:rsid w:val="00803238"/>
    <w:rsid w:val="008038D6"/>
    <w:rsid w:val="00812686"/>
    <w:rsid w:val="0081453C"/>
    <w:rsid w:val="008164D6"/>
    <w:rsid w:val="008175AD"/>
    <w:rsid w:val="008175FE"/>
    <w:rsid w:val="00820B12"/>
    <w:rsid w:val="00822CA9"/>
    <w:rsid w:val="00824472"/>
    <w:rsid w:val="008250A8"/>
    <w:rsid w:val="00826499"/>
    <w:rsid w:val="00826E44"/>
    <w:rsid w:val="0082729B"/>
    <w:rsid w:val="00827785"/>
    <w:rsid w:val="00831E78"/>
    <w:rsid w:val="00832B2A"/>
    <w:rsid w:val="00837E73"/>
    <w:rsid w:val="00837FDA"/>
    <w:rsid w:val="00844907"/>
    <w:rsid w:val="00846D83"/>
    <w:rsid w:val="00853CC0"/>
    <w:rsid w:val="00853E72"/>
    <w:rsid w:val="00857638"/>
    <w:rsid w:val="00860AD1"/>
    <w:rsid w:val="008612C6"/>
    <w:rsid w:val="008615DD"/>
    <w:rsid w:val="00861B06"/>
    <w:rsid w:val="00865150"/>
    <w:rsid w:val="00867E36"/>
    <w:rsid w:val="00870B5C"/>
    <w:rsid w:val="008715CF"/>
    <w:rsid w:val="00871B70"/>
    <w:rsid w:val="00873D39"/>
    <w:rsid w:val="008758D0"/>
    <w:rsid w:val="008813FD"/>
    <w:rsid w:val="00885430"/>
    <w:rsid w:val="00887126"/>
    <w:rsid w:val="008913D7"/>
    <w:rsid w:val="00892CEA"/>
    <w:rsid w:val="00895BB0"/>
    <w:rsid w:val="008961EF"/>
    <w:rsid w:val="008A090E"/>
    <w:rsid w:val="008A131E"/>
    <w:rsid w:val="008A75CC"/>
    <w:rsid w:val="008B0F25"/>
    <w:rsid w:val="008B14DA"/>
    <w:rsid w:val="008B44FF"/>
    <w:rsid w:val="008B4AC2"/>
    <w:rsid w:val="008B5C23"/>
    <w:rsid w:val="008B6638"/>
    <w:rsid w:val="008C1D06"/>
    <w:rsid w:val="008C324F"/>
    <w:rsid w:val="008C4C2E"/>
    <w:rsid w:val="008C6573"/>
    <w:rsid w:val="008C7774"/>
    <w:rsid w:val="008C7B0D"/>
    <w:rsid w:val="008D049D"/>
    <w:rsid w:val="008D4F73"/>
    <w:rsid w:val="008D5B03"/>
    <w:rsid w:val="008D63C7"/>
    <w:rsid w:val="008E1FF7"/>
    <w:rsid w:val="008E3439"/>
    <w:rsid w:val="008E7F8D"/>
    <w:rsid w:val="008F0E74"/>
    <w:rsid w:val="008F1B94"/>
    <w:rsid w:val="008F2B70"/>
    <w:rsid w:val="008F4A91"/>
    <w:rsid w:val="00903007"/>
    <w:rsid w:val="009045A3"/>
    <w:rsid w:val="00904ECC"/>
    <w:rsid w:val="0091204C"/>
    <w:rsid w:val="00913774"/>
    <w:rsid w:val="00914538"/>
    <w:rsid w:val="00915CF8"/>
    <w:rsid w:val="009204CC"/>
    <w:rsid w:val="0092299D"/>
    <w:rsid w:val="00925D33"/>
    <w:rsid w:val="00933BB4"/>
    <w:rsid w:val="00933DF8"/>
    <w:rsid w:val="00935A88"/>
    <w:rsid w:val="00937CFD"/>
    <w:rsid w:val="00937FC6"/>
    <w:rsid w:val="00942024"/>
    <w:rsid w:val="0094354F"/>
    <w:rsid w:val="00945DC0"/>
    <w:rsid w:val="00946EF0"/>
    <w:rsid w:val="00947BFE"/>
    <w:rsid w:val="00950C81"/>
    <w:rsid w:val="009641DD"/>
    <w:rsid w:val="00972F7D"/>
    <w:rsid w:val="00973DC9"/>
    <w:rsid w:val="009760CD"/>
    <w:rsid w:val="00976F5A"/>
    <w:rsid w:val="0097745E"/>
    <w:rsid w:val="00980122"/>
    <w:rsid w:val="00980D7E"/>
    <w:rsid w:val="00986901"/>
    <w:rsid w:val="00986EF0"/>
    <w:rsid w:val="00987EB2"/>
    <w:rsid w:val="00990A39"/>
    <w:rsid w:val="00992B5A"/>
    <w:rsid w:val="0099413D"/>
    <w:rsid w:val="009942A7"/>
    <w:rsid w:val="009961F4"/>
    <w:rsid w:val="009A0487"/>
    <w:rsid w:val="009A07D3"/>
    <w:rsid w:val="009A43D4"/>
    <w:rsid w:val="009A4484"/>
    <w:rsid w:val="009A67C0"/>
    <w:rsid w:val="009A764B"/>
    <w:rsid w:val="009B1317"/>
    <w:rsid w:val="009B19E3"/>
    <w:rsid w:val="009B1BD4"/>
    <w:rsid w:val="009B4FB1"/>
    <w:rsid w:val="009B5E9F"/>
    <w:rsid w:val="009B67EE"/>
    <w:rsid w:val="009C0DC7"/>
    <w:rsid w:val="009C6693"/>
    <w:rsid w:val="009D0F53"/>
    <w:rsid w:val="009D2809"/>
    <w:rsid w:val="009D7E36"/>
    <w:rsid w:val="009D7E54"/>
    <w:rsid w:val="009E3911"/>
    <w:rsid w:val="009E5F31"/>
    <w:rsid w:val="009F06DB"/>
    <w:rsid w:val="009F0EEE"/>
    <w:rsid w:val="009F1BEF"/>
    <w:rsid w:val="009F1E67"/>
    <w:rsid w:val="009F51C3"/>
    <w:rsid w:val="009F536D"/>
    <w:rsid w:val="009F5B5B"/>
    <w:rsid w:val="009F67CB"/>
    <w:rsid w:val="00A002F2"/>
    <w:rsid w:val="00A05A6E"/>
    <w:rsid w:val="00A05CE3"/>
    <w:rsid w:val="00A10700"/>
    <w:rsid w:val="00A20F28"/>
    <w:rsid w:val="00A2341B"/>
    <w:rsid w:val="00A30D2C"/>
    <w:rsid w:val="00A30D9A"/>
    <w:rsid w:val="00A32050"/>
    <w:rsid w:val="00A336CD"/>
    <w:rsid w:val="00A344CF"/>
    <w:rsid w:val="00A36402"/>
    <w:rsid w:val="00A3752B"/>
    <w:rsid w:val="00A40805"/>
    <w:rsid w:val="00A41700"/>
    <w:rsid w:val="00A43AD7"/>
    <w:rsid w:val="00A44738"/>
    <w:rsid w:val="00A44C3C"/>
    <w:rsid w:val="00A45F12"/>
    <w:rsid w:val="00A464F8"/>
    <w:rsid w:val="00A50841"/>
    <w:rsid w:val="00A51334"/>
    <w:rsid w:val="00A5141F"/>
    <w:rsid w:val="00A5526F"/>
    <w:rsid w:val="00A56472"/>
    <w:rsid w:val="00A60953"/>
    <w:rsid w:val="00A67681"/>
    <w:rsid w:val="00A71445"/>
    <w:rsid w:val="00A74465"/>
    <w:rsid w:val="00A74E94"/>
    <w:rsid w:val="00A7502E"/>
    <w:rsid w:val="00A81E05"/>
    <w:rsid w:val="00A82F62"/>
    <w:rsid w:val="00A87B25"/>
    <w:rsid w:val="00A92B89"/>
    <w:rsid w:val="00A94023"/>
    <w:rsid w:val="00AA0BF5"/>
    <w:rsid w:val="00AA13CF"/>
    <w:rsid w:val="00AA3B61"/>
    <w:rsid w:val="00AB2057"/>
    <w:rsid w:val="00AC009E"/>
    <w:rsid w:val="00AC1942"/>
    <w:rsid w:val="00AC5FA9"/>
    <w:rsid w:val="00AC7A54"/>
    <w:rsid w:val="00AD1974"/>
    <w:rsid w:val="00AD1AC9"/>
    <w:rsid w:val="00AD33AA"/>
    <w:rsid w:val="00AD55E8"/>
    <w:rsid w:val="00AD7AB3"/>
    <w:rsid w:val="00AE07CB"/>
    <w:rsid w:val="00AE09A5"/>
    <w:rsid w:val="00AE4450"/>
    <w:rsid w:val="00AE5243"/>
    <w:rsid w:val="00AF0614"/>
    <w:rsid w:val="00AF0CB7"/>
    <w:rsid w:val="00AF2D1B"/>
    <w:rsid w:val="00AF337C"/>
    <w:rsid w:val="00AF3772"/>
    <w:rsid w:val="00AF5E80"/>
    <w:rsid w:val="00AF6FC8"/>
    <w:rsid w:val="00B00D51"/>
    <w:rsid w:val="00B027C2"/>
    <w:rsid w:val="00B03E20"/>
    <w:rsid w:val="00B13EA6"/>
    <w:rsid w:val="00B1435F"/>
    <w:rsid w:val="00B15806"/>
    <w:rsid w:val="00B205CA"/>
    <w:rsid w:val="00B2083A"/>
    <w:rsid w:val="00B2301A"/>
    <w:rsid w:val="00B2481F"/>
    <w:rsid w:val="00B251C3"/>
    <w:rsid w:val="00B31156"/>
    <w:rsid w:val="00B31CE0"/>
    <w:rsid w:val="00B32D8A"/>
    <w:rsid w:val="00B33376"/>
    <w:rsid w:val="00B3708E"/>
    <w:rsid w:val="00B378D4"/>
    <w:rsid w:val="00B37D17"/>
    <w:rsid w:val="00B40A71"/>
    <w:rsid w:val="00B4220B"/>
    <w:rsid w:val="00B44358"/>
    <w:rsid w:val="00B46FF5"/>
    <w:rsid w:val="00B47411"/>
    <w:rsid w:val="00B4780C"/>
    <w:rsid w:val="00B50FFD"/>
    <w:rsid w:val="00B51958"/>
    <w:rsid w:val="00B51F20"/>
    <w:rsid w:val="00B54760"/>
    <w:rsid w:val="00B54D86"/>
    <w:rsid w:val="00B5538F"/>
    <w:rsid w:val="00B567E7"/>
    <w:rsid w:val="00B708B6"/>
    <w:rsid w:val="00B70F3B"/>
    <w:rsid w:val="00B73C0B"/>
    <w:rsid w:val="00B74260"/>
    <w:rsid w:val="00B7538F"/>
    <w:rsid w:val="00B75FE1"/>
    <w:rsid w:val="00B76C22"/>
    <w:rsid w:val="00B82B03"/>
    <w:rsid w:val="00B8390A"/>
    <w:rsid w:val="00B853C9"/>
    <w:rsid w:val="00B912B8"/>
    <w:rsid w:val="00B932A8"/>
    <w:rsid w:val="00B943B9"/>
    <w:rsid w:val="00B9763B"/>
    <w:rsid w:val="00B977DA"/>
    <w:rsid w:val="00B97850"/>
    <w:rsid w:val="00BA082D"/>
    <w:rsid w:val="00BA2200"/>
    <w:rsid w:val="00BA5511"/>
    <w:rsid w:val="00BA72E1"/>
    <w:rsid w:val="00BB17E1"/>
    <w:rsid w:val="00BC19FA"/>
    <w:rsid w:val="00BD3085"/>
    <w:rsid w:val="00BD327D"/>
    <w:rsid w:val="00BD7B3F"/>
    <w:rsid w:val="00BE0507"/>
    <w:rsid w:val="00BF3CBE"/>
    <w:rsid w:val="00BF3F33"/>
    <w:rsid w:val="00BF4708"/>
    <w:rsid w:val="00C03FCD"/>
    <w:rsid w:val="00C05358"/>
    <w:rsid w:val="00C06744"/>
    <w:rsid w:val="00C07028"/>
    <w:rsid w:val="00C12EA2"/>
    <w:rsid w:val="00C156B8"/>
    <w:rsid w:val="00C22B4E"/>
    <w:rsid w:val="00C2340B"/>
    <w:rsid w:val="00C23CCF"/>
    <w:rsid w:val="00C259D0"/>
    <w:rsid w:val="00C25CD4"/>
    <w:rsid w:val="00C26559"/>
    <w:rsid w:val="00C304B3"/>
    <w:rsid w:val="00C3131F"/>
    <w:rsid w:val="00C31DD7"/>
    <w:rsid w:val="00C35892"/>
    <w:rsid w:val="00C41067"/>
    <w:rsid w:val="00C42B22"/>
    <w:rsid w:val="00C452AB"/>
    <w:rsid w:val="00C454F6"/>
    <w:rsid w:val="00C46DD9"/>
    <w:rsid w:val="00C51F93"/>
    <w:rsid w:val="00C5311B"/>
    <w:rsid w:val="00C56669"/>
    <w:rsid w:val="00C56AE0"/>
    <w:rsid w:val="00C60CCA"/>
    <w:rsid w:val="00C62101"/>
    <w:rsid w:val="00C638AE"/>
    <w:rsid w:val="00C66247"/>
    <w:rsid w:val="00C66D0F"/>
    <w:rsid w:val="00C66EE2"/>
    <w:rsid w:val="00C70D65"/>
    <w:rsid w:val="00C8256A"/>
    <w:rsid w:val="00C82F2D"/>
    <w:rsid w:val="00C868CA"/>
    <w:rsid w:val="00C91AA5"/>
    <w:rsid w:val="00C926A6"/>
    <w:rsid w:val="00C94827"/>
    <w:rsid w:val="00C969CC"/>
    <w:rsid w:val="00CA032E"/>
    <w:rsid w:val="00CA66C3"/>
    <w:rsid w:val="00CA7602"/>
    <w:rsid w:val="00CA7B3A"/>
    <w:rsid w:val="00CB5880"/>
    <w:rsid w:val="00CB78FD"/>
    <w:rsid w:val="00CC1D41"/>
    <w:rsid w:val="00CC1E3F"/>
    <w:rsid w:val="00CC57FA"/>
    <w:rsid w:val="00CC69E6"/>
    <w:rsid w:val="00CD3509"/>
    <w:rsid w:val="00CD4737"/>
    <w:rsid w:val="00CD5349"/>
    <w:rsid w:val="00CE462E"/>
    <w:rsid w:val="00CE64D7"/>
    <w:rsid w:val="00CE68B4"/>
    <w:rsid w:val="00CE7D2F"/>
    <w:rsid w:val="00CF15C6"/>
    <w:rsid w:val="00CF1912"/>
    <w:rsid w:val="00CF20DD"/>
    <w:rsid w:val="00D02AF6"/>
    <w:rsid w:val="00D03DAF"/>
    <w:rsid w:val="00D0681B"/>
    <w:rsid w:val="00D0736A"/>
    <w:rsid w:val="00D07681"/>
    <w:rsid w:val="00D135DC"/>
    <w:rsid w:val="00D14138"/>
    <w:rsid w:val="00D15210"/>
    <w:rsid w:val="00D157A7"/>
    <w:rsid w:val="00D17C02"/>
    <w:rsid w:val="00D20021"/>
    <w:rsid w:val="00D23069"/>
    <w:rsid w:val="00D2348B"/>
    <w:rsid w:val="00D23668"/>
    <w:rsid w:val="00D2404D"/>
    <w:rsid w:val="00D24E2A"/>
    <w:rsid w:val="00D277F8"/>
    <w:rsid w:val="00D279A7"/>
    <w:rsid w:val="00D3097F"/>
    <w:rsid w:val="00D3316F"/>
    <w:rsid w:val="00D33514"/>
    <w:rsid w:val="00D34062"/>
    <w:rsid w:val="00D37B0A"/>
    <w:rsid w:val="00D41AE8"/>
    <w:rsid w:val="00D424A0"/>
    <w:rsid w:val="00D443D5"/>
    <w:rsid w:val="00D465FA"/>
    <w:rsid w:val="00D506AC"/>
    <w:rsid w:val="00D5302B"/>
    <w:rsid w:val="00D5530C"/>
    <w:rsid w:val="00D606EA"/>
    <w:rsid w:val="00D60E57"/>
    <w:rsid w:val="00D647CA"/>
    <w:rsid w:val="00D6660B"/>
    <w:rsid w:val="00D71C6E"/>
    <w:rsid w:val="00D72924"/>
    <w:rsid w:val="00D739E5"/>
    <w:rsid w:val="00D75C3F"/>
    <w:rsid w:val="00D761AE"/>
    <w:rsid w:val="00D77666"/>
    <w:rsid w:val="00D77F7E"/>
    <w:rsid w:val="00D8416E"/>
    <w:rsid w:val="00D84F97"/>
    <w:rsid w:val="00D854D5"/>
    <w:rsid w:val="00D9066B"/>
    <w:rsid w:val="00D92268"/>
    <w:rsid w:val="00D9489B"/>
    <w:rsid w:val="00D9617D"/>
    <w:rsid w:val="00D96309"/>
    <w:rsid w:val="00DA4569"/>
    <w:rsid w:val="00DA7021"/>
    <w:rsid w:val="00DA70C3"/>
    <w:rsid w:val="00DB2840"/>
    <w:rsid w:val="00DB3FE5"/>
    <w:rsid w:val="00DB765C"/>
    <w:rsid w:val="00DC07F5"/>
    <w:rsid w:val="00DC3241"/>
    <w:rsid w:val="00DC3D57"/>
    <w:rsid w:val="00DD34DC"/>
    <w:rsid w:val="00DD3889"/>
    <w:rsid w:val="00DD4DC7"/>
    <w:rsid w:val="00DD524E"/>
    <w:rsid w:val="00DD5801"/>
    <w:rsid w:val="00DD60B8"/>
    <w:rsid w:val="00DD75E1"/>
    <w:rsid w:val="00DD79B1"/>
    <w:rsid w:val="00DE11EB"/>
    <w:rsid w:val="00DE1B30"/>
    <w:rsid w:val="00DE405C"/>
    <w:rsid w:val="00DE4DFF"/>
    <w:rsid w:val="00DE5349"/>
    <w:rsid w:val="00DE5D20"/>
    <w:rsid w:val="00DF1DFA"/>
    <w:rsid w:val="00DF224D"/>
    <w:rsid w:val="00DF3E14"/>
    <w:rsid w:val="00DF47A4"/>
    <w:rsid w:val="00DF58D0"/>
    <w:rsid w:val="00DF6535"/>
    <w:rsid w:val="00DF71BE"/>
    <w:rsid w:val="00DF7CF2"/>
    <w:rsid w:val="00E027A9"/>
    <w:rsid w:val="00E02F88"/>
    <w:rsid w:val="00E03630"/>
    <w:rsid w:val="00E06E9A"/>
    <w:rsid w:val="00E10BDB"/>
    <w:rsid w:val="00E11750"/>
    <w:rsid w:val="00E16630"/>
    <w:rsid w:val="00E2075C"/>
    <w:rsid w:val="00E215B3"/>
    <w:rsid w:val="00E230D7"/>
    <w:rsid w:val="00E23604"/>
    <w:rsid w:val="00E23FCE"/>
    <w:rsid w:val="00E2678A"/>
    <w:rsid w:val="00E300C6"/>
    <w:rsid w:val="00E35F85"/>
    <w:rsid w:val="00E377C4"/>
    <w:rsid w:val="00E37E90"/>
    <w:rsid w:val="00E419D8"/>
    <w:rsid w:val="00E441EF"/>
    <w:rsid w:val="00E4457D"/>
    <w:rsid w:val="00E4507C"/>
    <w:rsid w:val="00E460E2"/>
    <w:rsid w:val="00E51C2F"/>
    <w:rsid w:val="00E53870"/>
    <w:rsid w:val="00E53986"/>
    <w:rsid w:val="00E539D2"/>
    <w:rsid w:val="00E541EA"/>
    <w:rsid w:val="00E5491A"/>
    <w:rsid w:val="00E560EF"/>
    <w:rsid w:val="00E5697A"/>
    <w:rsid w:val="00E60730"/>
    <w:rsid w:val="00E60EFC"/>
    <w:rsid w:val="00E70A25"/>
    <w:rsid w:val="00E736FC"/>
    <w:rsid w:val="00E739D5"/>
    <w:rsid w:val="00E74A63"/>
    <w:rsid w:val="00E80149"/>
    <w:rsid w:val="00E81199"/>
    <w:rsid w:val="00E848F5"/>
    <w:rsid w:val="00E85A24"/>
    <w:rsid w:val="00E87509"/>
    <w:rsid w:val="00E87659"/>
    <w:rsid w:val="00EA02A1"/>
    <w:rsid w:val="00EA079C"/>
    <w:rsid w:val="00EA0DFD"/>
    <w:rsid w:val="00EA1FD9"/>
    <w:rsid w:val="00EB2095"/>
    <w:rsid w:val="00EB433C"/>
    <w:rsid w:val="00EB6761"/>
    <w:rsid w:val="00EC3B09"/>
    <w:rsid w:val="00EC4429"/>
    <w:rsid w:val="00EC475B"/>
    <w:rsid w:val="00EC5C6E"/>
    <w:rsid w:val="00EC749F"/>
    <w:rsid w:val="00ED343F"/>
    <w:rsid w:val="00ED5DEA"/>
    <w:rsid w:val="00ED781C"/>
    <w:rsid w:val="00EE0750"/>
    <w:rsid w:val="00EE07FC"/>
    <w:rsid w:val="00EE1644"/>
    <w:rsid w:val="00EF0096"/>
    <w:rsid w:val="00EF3D9E"/>
    <w:rsid w:val="00EF3FA5"/>
    <w:rsid w:val="00EF5B69"/>
    <w:rsid w:val="00EF7E9E"/>
    <w:rsid w:val="00F025C3"/>
    <w:rsid w:val="00F10A11"/>
    <w:rsid w:val="00F1248D"/>
    <w:rsid w:val="00F12874"/>
    <w:rsid w:val="00F135D4"/>
    <w:rsid w:val="00F14B02"/>
    <w:rsid w:val="00F15D55"/>
    <w:rsid w:val="00F217FF"/>
    <w:rsid w:val="00F23854"/>
    <w:rsid w:val="00F23BB1"/>
    <w:rsid w:val="00F2422D"/>
    <w:rsid w:val="00F254CC"/>
    <w:rsid w:val="00F26779"/>
    <w:rsid w:val="00F278F8"/>
    <w:rsid w:val="00F27D91"/>
    <w:rsid w:val="00F310F3"/>
    <w:rsid w:val="00F32837"/>
    <w:rsid w:val="00F363CC"/>
    <w:rsid w:val="00F37EA7"/>
    <w:rsid w:val="00F4115D"/>
    <w:rsid w:val="00F41570"/>
    <w:rsid w:val="00F444A2"/>
    <w:rsid w:val="00F55FF9"/>
    <w:rsid w:val="00F5606F"/>
    <w:rsid w:val="00F57BFA"/>
    <w:rsid w:val="00F62C38"/>
    <w:rsid w:val="00F62DFA"/>
    <w:rsid w:val="00F62E6B"/>
    <w:rsid w:val="00F63054"/>
    <w:rsid w:val="00F64907"/>
    <w:rsid w:val="00F66EA7"/>
    <w:rsid w:val="00F71D10"/>
    <w:rsid w:val="00F74F3D"/>
    <w:rsid w:val="00F76377"/>
    <w:rsid w:val="00F81F47"/>
    <w:rsid w:val="00F8243A"/>
    <w:rsid w:val="00F83AB2"/>
    <w:rsid w:val="00F843F3"/>
    <w:rsid w:val="00F9289B"/>
    <w:rsid w:val="00F92CFA"/>
    <w:rsid w:val="00F94C7B"/>
    <w:rsid w:val="00F951A7"/>
    <w:rsid w:val="00FA0138"/>
    <w:rsid w:val="00FA063F"/>
    <w:rsid w:val="00FA23DE"/>
    <w:rsid w:val="00FA3E34"/>
    <w:rsid w:val="00FA51A9"/>
    <w:rsid w:val="00FA51C8"/>
    <w:rsid w:val="00FA6D67"/>
    <w:rsid w:val="00FB0821"/>
    <w:rsid w:val="00FB26B3"/>
    <w:rsid w:val="00FB297D"/>
    <w:rsid w:val="00FB5953"/>
    <w:rsid w:val="00FC09B9"/>
    <w:rsid w:val="00FC1320"/>
    <w:rsid w:val="00FC145D"/>
    <w:rsid w:val="00FC3317"/>
    <w:rsid w:val="00FD2726"/>
    <w:rsid w:val="00FD2860"/>
    <w:rsid w:val="00FD61B0"/>
    <w:rsid w:val="00FE018F"/>
    <w:rsid w:val="00FE3C3B"/>
    <w:rsid w:val="00FE4F0D"/>
    <w:rsid w:val="00FF1025"/>
    <w:rsid w:val="00FF128A"/>
    <w:rsid w:val="00FF2D23"/>
    <w:rsid w:val="00FF6A46"/>
    <w:rsid w:val="00FF6B6F"/>
    <w:rsid w:val="00FF7AD8"/>
    <w:rsid w:val="00FF7B2E"/>
    <w:rsid w:val="207502EA"/>
    <w:rsid w:val="5537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37C9CB4A"/>
  <w15:docId w15:val="{23535710-A949-4D07-8F7C-6B63A19162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0E57"/>
    <w:rPr>
      <w:sz w:val="22"/>
      <w:szCs w:val="22"/>
    </w:rPr>
  </w:style>
  <w:style w:type="paragraph" w:styleId="Heading1">
    <w:name w:val="heading 1"/>
    <w:basedOn w:val="Normal"/>
    <w:next w:val="Normal"/>
    <w:link w:val="Heading1Char"/>
    <w:qFormat/>
    <w:rsid w:val="002F2CA6"/>
    <w:pPr>
      <w:widowControl w:val="0"/>
      <w:numPr>
        <w:numId w:val="6"/>
      </w:numPr>
      <w:tabs>
        <w:tab w:val="left" w:pos="0"/>
      </w:tabs>
      <w:spacing w:after="240"/>
      <w:jc w:val="both"/>
      <w:outlineLvl w:val="0"/>
    </w:pPr>
    <w:rPr>
      <w:rFonts w:ascii="Arial" w:hAnsi="Arial" w:eastAsia="Times New Roman"/>
      <w:b/>
      <w:caps/>
      <w:sz w:val="20"/>
      <w:szCs w:val="20"/>
    </w:rPr>
  </w:style>
  <w:style w:type="paragraph" w:styleId="Heading2">
    <w:name w:val="heading 2"/>
    <w:basedOn w:val="Heading1"/>
    <w:next w:val="BodyText"/>
    <w:link w:val="Heading2Char"/>
    <w:qFormat/>
    <w:rsid w:val="002F2CA6"/>
    <w:pPr>
      <w:numPr>
        <w:ilvl w:val="1"/>
      </w:numPr>
      <w:tabs>
        <w:tab w:val="clear" w:pos="0"/>
      </w:tabs>
      <w:outlineLvl w:val="1"/>
    </w:pPr>
  </w:style>
  <w:style w:type="paragraph" w:styleId="Heading3">
    <w:name w:val="heading 3"/>
    <w:basedOn w:val="Heading2"/>
    <w:next w:val="BodyText"/>
    <w:link w:val="Heading3Char"/>
    <w:qFormat/>
    <w:rsid w:val="002F2CA6"/>
    <w:pPr>
      <w:numPr>
        <w:ilvl w:val="2"/>
      </w:numPr>
      <w:outlineLvl w:val="2"/>
    </w:pPr>
    <w:rPr>
      <w:b w:val="0"/>
      <w:caps w:val="0"/>
    </w:rPr>
  </w:style>
  <w:style w:type="paragraph" w:styleId="Heading4">
    <w:name w:val="heading 4"/>
    <w:basedOn w:val="Heading3"/>
    <w:next w:val="BodyText"/>
    <w:link w:val="Heading4Char"/>
    <w:qFormat/>
    <w:rsid w:val="002F2CA6"/>
    <w:pPr>
      <w:numPr>
        <w:ilvl w:val="3"/>
      </w:numPr>
      <w:outlineLvl w:val="3"/>
    </w:pPr>
  </w:style>
  <w:style w:type="paragraph" w:styleId="Heading5">
    <w:name w:val="heading 5"/>
    <w:basedOn w:val="Normal"/>
    <w:next w:val="BodyText"/>
    <w:link w:val="Heading5Char"/>
    <w:qFormat/>
    <w:rsid w:val="002F2CA6"/>
    <w:pPr>
      <w:widowControl w:val="0"/>
      <w:numPr>
        <w:ilvl w:val="4"/>
        <w:numId w:val="6"/>
      </w:numPr>
      <w:spacing w:after="240"/>
      <w:jc w:val="both"/>
      <w:outlineLvl w:val="4"/>
    </w:pPr>
    <w:rPr>
      <w:rFonts w:ascii="Arial" w:hAnsi="Arial" w:eastAsia="Times New Roman"/>
      <w:sz w:val="20"/>
      <w:szCs w:val="20"/>
    </w:rPr>
  </w:style>
  <w:style w:type="paragraph" w:styleId="Heading6">
    <w:name w:val="heading 6"/>
    <w:basedOn w:val="Heading5"/>
    <w:next w:val="BodyText"/>
    <w:link w:val="Heading6Char"/>
    <w:qFormat/>
    <w:rsid w:val="002F2CA6"/>
    <w:pPr>
      <w:numPr>
        <w:ilvl w:val="5"/>
      </w:numPr>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E3C30"/>
    <w:rPr>
      <w:color w:val="0000FF"/>
      <w:u w:val="single"/>
    </w:rPr>
  </w:style>
  <w:style w:type="paragraph" w:styleId="CM102" w:customStyle="1">
    <w:name w:val="CM102"/>
    <w:basedOn w:val="Normal"/>
    <w:next w:val="Normal"/>
    <w:uiPriority w:val="99"/>
    <w:rsid w:val="00611AAF"/>
    <w:pPr>
      <w:autoSpaceDE w:val="0"/>
      <w:autoSpaceDN w:val="0"/>
      <w:adjustRightInd w:val="0"/>
    </w:pPr>
    <w:rPr>
      <w:sz w:val="24"/>
      <w:szCs w:val="24"/>
    </w:rPr>
  </w:style>
  <w:style w:type="paragraph" w:styleId="CM82" w:customStyle="1">
    <w:name w:val="CM82"/>
    <w:basedOn w:val="Normal"/>
    <w:next w:val="Normal"/>
    <w:uiPriority w:val="99"/>
    <w:rsid w:val="00247B39"/>
    <w:pPr>
      <w:autoSpaceDE w:val="0"/>
      <w:autoSpaceDN w:val="0"/>
      <w:adjustRightInd w:val="0"/>
      <w:spacing w:line="231" w:lineRule="atLeast"/>
    </w:pPr>
    <w:rPr>
      <w:sz w:val="24"/>
      <w:szCs w:val="24"/>
    </w:rPr>
  </w:style>
  <w:style w:type="paragraph" w:styleId="CM118" w:customStyle="1">
    <w:name w:val="CM118"/>
    <w:basedOn w:val="Normal"/>
    <w:next w:val="Normal"/>
    <w:uiPriority w:val="99"/>
    <w:rsid w:val="00247B39"/>
    <w:pPr>
      <w:autoSpaceDE w:val="0"/>
      <w:autoSpaceDN w:val="0"/>
      <w:adjustRightInd w:val="0"/>
    </w:pPr>
    <w:rPr>
      <w:sz w:val="24"/>
      <w:szCs w:val="24"/>
    </w:rPr>
  </w:style>
  <w:style w:type="paragraph" w:styleId="Default" w:customStyle="1">
    <w:name w:val="Default"/>
    <w:rsid w:val="00247B39"/>
    <w:pPr>
      <w:autoSpaceDE w:val="0"/>
      <w:autoSpaceDN w:val="0"/>
      <w:adjustRightInd w:val="0"/>
    </w:pPr>
    <w:rPr>
      <w:color w:val="000000"/>
      <w:sz w:val="24"/>
      <w:szCs w:val="24"/>
    </w:rPr>
  </w:style>
  <w:style w:type="paragraph" w:styleId="CM77" w:customStyle="1">
    <w:name w:val="CM77"/>
    <w:basedOn w:val="Default"/>
    <w:next w:val="Default"/>
    <w:uiPriority w:val="99"/>
    <w:rsid w:val="009F67CB"/>
    <w:pPr>
      <w:spacing w:line="231" w:lineRule="atLeast"/>
    </w:pPr>
    <w:rPr>
      <w:color w:val="auto"/>
    </w:rPr>
  </w:style>
  <w:style w:type="paragraph" w:styleId="FootnoteText">
    <w:name w:val="footnote text"/>
    <w:basedOn w:val="Normal"/>
    <w:link w:val="FootnoteTextChar"/>
    <w:uiPriority w:val="99"/>
    <w:semiHidden/>
    <w:unhideWhenUsed/>
    <w:rsid w:val="00C8256A"/>
    <w:rPr>
      <w:sz w:val="20"/>
      <w:szCs w:val="20"/>
    </w:rPr>
  </w:style>
  <w:style w:type="character" w:styleId="FootnoteTextChar" w:customStyle="1">
    <w:name w:val="Footnote Text Char"/>
    <w:basedOn w:val="DefaultParagraphFont"/>
    <w:link w:val="FootnoteText"/>
    <w:uiPriority w:val="99"/>
    <w:semiHidden/>
    <w:rsid w:val="00C8256A"/>
  </w:style>
  <w:style w:type="character" w:styleId="FootnoteReference">
    <w:name w:val="footnote reference"/>
    <w:basedOn w:val="DefaultParagraphFont"/>
    <w:uiPriority w:val="99"/>
    <w:semiHidden/>
    <w:unhideWhenUsed/>
    <w:rsid w:val="00C8256A"/>
    <w:rPr>
      <w:vertAlign w:val="superscript"/>
    </w:rPr>
  </w:style>
  <w:style w:type="paragraph" w:styleId="BodyText">
    <w:name w:val="Body Text"/>
    <w:basedOn w:val="Normal"/>
    <w:link w:val="BodyTextChar"/>
    <w:rsid w:val="00F135D4"/>
    <w:rPr>
      <w:rFonts w:eastAsia="Times New Roman"/>
      <w:sz w:val="24"/>
      <w:szCs w:val="20"/>
    </w:rPr>
  </w:style>
  <w:style w:type="character" w:styleId="BodyTextChar" w:customStyle="1">
    <w:name w:val="Body Text Char"/>
    <w:basedOn w:val="DefaultParagraphFont"/>
    <w:link w:val="BodyText"/>
    <w:rsid w:val="00F135D4"/>
    <w:rPr>
      <w:rFonts w:ascii="Times New Roman" w:hAnsi="Times New Roman" w:eastAsia="Times New Roman"/>
      <w:sz w:val="24"/>
    </w:rPr>
  </w:style>
  <w:style w:type="paragraph" w:styleId="BodyText3">
    <w:name w:val="Body Text 3"/>
    <w:basedOn w:val="Normal"/>
    <w:link w:val="BodyText3Char"/>
    <w:uiPriority w:val="99"/>
    <w:unhideWhenUsed/>
    <w:rsid w:val="00712D81"/>
    <w:pPr>
      <w:spacing w:after="120"/>
    </w:pPr>
    <w:rPr>
      <w:sz w:val="16"/>
      <w:szCs w:val="16"/>
    </w:rPr>
  </w:style>
  <w:style w:type="character" w:styleId="BodyText3Char" w:customStyle="1">
    <w:name w:val="Body Text 3 Char"/>
    <w:basedOn w:val="DefaultParagraphFont"/>
    <w:link w:val="BodyText3"/>
    <w:uiPriority w:val="99"/>
    <w:rsid w:val="00712D81"/>
    <w:rPr>
      <w:sz w:val="16"/>
      <w:szCs w:val="16"/>
    </w:rPr>
  </w:style>
  <w:style w:type="paragraph" w:styleId="CM64" w:customStyle="1">
    <w:name w:val="CM64"/>
    <w:basedOn w:val="Default"/>
    <w:next w:val="Default"/>
    <w:uiPriority w:val="99"/>
    <w:rsid w:val="000834EA"/>
    <w:pPr>
      <w:spacing w:line="256" w:lineRule="atLeast"/>
    </w:pPr>
    <w:rPr>
      <w:color w:val="auto"/>
    </w:rPr>
  </w:style>
  <w:style w:type="paragraph" w:styleId="Header">
    <w:name w:val="header"/>
    <w:basedOn w:val="Normal"/>
    <w:link w:val="HeaderChar"/>
    <w:unhideWhenUsed/>
    <w:rsid w:val="00F278F8"/>
    <w:pPr>
      <w:tabs>
        <w:tab w:val="center" w:pos="4680"/>
        <w:tab w:val="right" w:pos="9360"/>
      </w:tabs>
    </w:pPr>
  </w:style>
  <w:style w:type="character" w:styleId="HeaderChar" w:customStyle="1">
    <w:name w:val="Header Char"/>
    <w:basedOn w:val="DefaultParagraphFont"/>
    <w:link w:val="Header"/>
    <w:rsid w:val="00F278F8"/>
    <w:rPr>
      <w:sz w:val="22"/>
      <w:szCs w:val="22"/>
    </w:rPr>
  </w:style>
  <w:style w:type="paragraph" w:styleId="Footer">
    <w:name w:val="footer"/>
    <w:basedOn w:val="Normal"/>
    <w:link w:val="FooterChar"/>
    <w:uiPriority w:val="99"/>
    <w:unhideWhenUsed/>
    <w:rsid w:val="00F278F8"/>
    <w:pPr>
      <w:tabs>
        <w:tab w:val="center" w:pos="4680"/>
        <w:tab w:val="right" w:pos="9360"/>
      </w:tabs>
    </w:pPr>
  </w:style>
  <w:style w:type="character" w:styleId="FooterChar" w:customStyle="1">
    <w:name w:val="Footer Char"/>
    <w:basedOn w:val="DefaultParagraphFont"/>
    <w:link w:val="Footer"/>
    <w:uiPriority w:val="99"/>
    <w:rsid w:val="00F278F8"/>
    <w:rPr>
      <w:sz w:val="22"/>
      <w:szCs w:val="22"/>
    </w:rPr>
  </w:style>
  <w:style w:type="character" w:styleId="text-normal" w:customStyle="1">
    <w:name w:val="text-normal"/>
    <w:basedOn w:val="DefaultParagraphFont"/>
    <w:rsid w:val="00AF3772"/>
  </w:style>
  <w:style w:type="character" w:styleId="searchhit" w:customStyle="1">
    <w:name w:val="searchhit"/>
    <w:basedOn w:val="DefaultParagraphFont"/>
    <w:rsid w:val="00AF3772"/>
  </w:style>
  <w:style w:type="paragraph" w:styleId="CM176" w:customStyle="1">
    <w:name w:val="CM176"/>
    <w:basedOn w:val="Default"/>
    <w:next w:val="Default"/>
    <w:uiPriority w:val="99"/>
    <w:rsid w:val="0064318D"/>
    <w:rPr>
      <w:color w:val="auto"/>
    </w:rPr>
  </w:style>
  <w:style w:type="paragraph" w:styleId="CM198" w:customStyle="1">
    <w:name w:val="CM198"/>
    <w:basedOn w:val="Default"/>
    <w:next w:val="Default"/>
    <w:uiPriority w:val="99"/>
    <w:rsid w:val="002767E6"/>
    <w:rPr>
      <w:color w:val="auto"/>
    </w:rPr>
  </w:style>
  <w:style w:type="paragraph" w:styleId="NoSpacing">
    <w:name w:val="No Spacing"/>
    <w:uiPriority w:val="1"/>
    <w:qFormat/>
    <w:rsid w:val="00331D61"/>
    <w:rPr>
      <w:sz w:val="22"/>
      <w:szCs w:val="22"/>
    </w:rPr>
  </w:style>
  <w:style w:type="paragraph" w:styleId="BodyText2">
    <w:name w:val="Body Text 2"/>
    <w:basedOn w:val="Normal"/>
    <w:link w:val="BodyText2Char"/>
    <w:uiPriority w:val="99"/>
    <w:unhideWhenUsed/>
    <w:rsid w:val="00130A7B"/>
    <w:pPr>
      <w:spacing w:after="120" w:line="480" w:lineRule="auto"/>
    </w:pPr>
  </w:style>
  <w:style w:type="character" w:styleId="BodyText2Char" w:customStyle="1">
    <w:name w:val="Body Text 2 Char"/>
    <w:basedOn w:val="DefaultParagraphFont"/>
    <w:link w:val="BodyText2"/>
    <w:uiPriority w:val="99"/>
    <w:rsid w:val="00130A7B"/>
    <w:rPr>
      <w:sz w:val="22"/>
      <w:szCs w:val="22"/>
    </w:rPr>
  </w:style>
  <w:style w:type="paragraph" w:styleId="Style2" w:customStyle="1">
    <w:name w:val="Style 2"/>
    <w:basedOn w:val="Normal"/>
    <w:rsid w:val="006D141C"/>
    <w:pPr>
      <w:widowControl w:val="0"/>
      <w:spacing w:after="240"/>
      <w:jc w:val="both"/>
    </w:pPr>
    <w:rPr>
      <w:rFonts w:ascii="Helv" w:hAnsi="Helv" w:eastAsia="Times New Roman"/>
      <w:sz w:val="20"/>
      <w:szCs w:val="20"/>
    </w:rPr>
  </w:style>
  <w:style w:type="paragraph" w:styleId="ListNumAppend" w:customStyle="1">
    <w:name w:val="List Num Append"/>
    <w:basedOn w:val="Normal"/>
    <w:rsid w:val="006D141C"/>
    <w:pPr>
      <w:widowControl w:val="0"/>
      <w:numPr>
        <w:numId w:val="5"/>
      </w:numPr>
      <w:spacing w:after="240"/>
      <w:jc w:val="both"/>
    </w:pPr>
    <w:rPr>
      <w:rFonts w:ascii="Arial" w:hAnsi="Arial" w:eastAsia="Times New Roman"/>
      <w:b/>
      <w:sz w:val="20"/>
      <w:szCs w:val="20"/>
      <w:u w:val="single"/>
    </w:rPr>
  </w:style>
  <w:style w:type="paragraph" w:styleId="NormalWeb">
    <w:name w:val="Normal (Web)"/>
    <w:basedOn w:val="Normal"/>
    <w:uiPriority w:val="99"/>
    <w:unhideWhenUsed/>
    <w:rsid w:val="005D6C12"/>
    <w:pPr>
      <w:spacing w:before="100" w:beforeAutospacing="1" w:after="100" w:afterAutospacing="1"/>
    </w:pPr>
    <w:rPr>
      <w:rFonts w:eastAsia="Times New Roman"/>
      <w:sz w:val="24"/>
      <w:szCs w:val="24"/>
    </w:rPr>
  </w:style>
  <w:style w:type="character" w:styleId="Heading1Char" w:customStyle="1">
    <w:name w:val="Heading 1 Char"/>
    <w:basedOn w:val="DefaultParagraphFont"/>
    <w:link w:val="Heading1"/>
    <w:rsid w:val="002F2CA6"/>
    <w:rPr>
      <w:rFonts w:ascii="Arial" w:hAnsi="Arial" w:eastAsia="Times New Roman"/>
      <w:b/>
      <w:caps/>
    </w:rPr>
  </w:style>
  <w:style w:type="character" w:styleId="Heading2Char" w:customStyle="1">
    <w:name w:val="Heading 2 Char"/>
    <w:basedOn w:val="DefaultParagraphFont"/>
    <w:link w:val="Heading2"/>
    <w:rsid w:val="002F2CA6"/>
    <w:rPr>
      <w:rFonts w:ascii="Arial" w:hAnsi="Arial" w:eastAsia="Times New Roman"/>
      <w:b/>
      <w:caps/>
    </w:rPr>
  </w:style>
  <w:style w:type="character" w:styleId="Heading3Char" w:customStyle="1">
    <w:name w:val="Heading 3 Char"/>
    <w:basedOn w:val="DefaultParagraphFont"/>
    <w:link w:val="Heading3"/>
    <w:rsid w:val="002F2CA6"/>
    <w:rPr>
      <w:rFonts w:ascii="Arial" w:hAnsi="Arial" w:eastAsia="Times New Roman"/>
    </w:rPr>
  </w:style>
  <w:style w:type="character" w:styleId="Heading4Char" w:customStyle="1">
    <w:name w:val="Heading 4 Char"/>
    <w:basedOn w:val="DefaultParagraphFont"/>
    <w:link w:val="Heading4"/>
    <w:rsid w:val="002F2CA6"/>
    <w:rPr>
      <w:rFonts w:ascii="Arial" w:hAnsi="Arial" w:eastAsia="Times New Roman"/>
    </w:rPr>
  </w:style>
  <w:style w:type="character" w:styleId="Heading5Char" w:customStyle="1">
    <w:name w:val="Heading 5 Char"/>
    <w:basedOn w:val="DefaultParagraphFont"/>
    <w:link w:val="Heading5"/>
    <w:rsid w:val="002F2CA6"/>
    <w:rPr>
      <w:rFonts w:ascii="Arial" w:hAnsi="Arial" w:eastAsia="Times New Roman"/>
    </w:rPr>
  </w:style>
  <w:style w:type="character" w:styleId="Heading6Char" w:customStyle="1">
    <w:name w:val="Heading 6 Char"/>
    <w:basedOn w:val="DefaultParagraphFont"/>
    <w:link w:val="Heading6"/>
    <w:rsid w:val="002F2CA6"/>
    <w:rPr>
      <w:rFonts w:ascii="Arial" w:hAnsi="Arial" w:eastAsia="Times New Roman"/>
    </w:rPr>
  </w:style>
  <w:style w:type="paragraph" w:styleId="EndnoteText">
    <w:name w:val="endnote text"/>
    <w:basedOn w:val="Normal"/>
    <w:link w:val="EndnoteTextChar"/>
    <w:semiHidden/>
    <w:rsid w:val="002F2CA6"/>
    <w:pPr>
      <w:widowControl w:val="0"/>
      <w:spacing w:after="240"/>
      <w:jc w:val="both"/>
    </w:pPr>
    <w:rPr>
      <w:rFonts w:ascii="Courier New" w:hAnsi="Courier New" w:eastAsia="Times New Roman"/>
      <w:sz w:val="20"/>
      <w:szCs w:val="20"/>
    </w:rPr>
  </w:style>
  <w:style w:type="character" w:styleId="EndnoteTextChar" w:customStyle="1">
    <w:name w:val="Endnote Text Char"/>
    <w:basedOn w:val="DefaultParagraphFont"/>
    <w:link w:val="EndnoteText"/>
    <w:semiHidden/>
    <w:rsid w:val="002F2CA6"/>
    <w:rPr>
      <w:rFonts w:ascii="Courier New" w:hAnsi="Courier New" w:eastAsia="Times New Roman"/>
    </w:rPr>
  </w:style>
  <w:style w:type="paragraph" w:styleId="Title">
    <w:name w:val="Title"/>
    <w:basedOn w:val="Normal"/>
    <w:link w:val="TitleChar"/>
    <w:qFormat/>
    <w:rsid w:val="002F2CA6"/>
    <w:pPr>
      <w:widowControl w:val="0"/>
      <w:spacing w:after="240"/>
      <w:jc w:val="center"/>
      <w:outlineLvl w:val="0"/>
    </w:pPr>
    <w:rPr>
      <w:rFonts w:ascii="Arial" w:hAnsi="Arial" w:eastAsia="Times New Roman"/>
      <w:b/>
      <w:kern w:val="28"/>
      <w:sz w:val="20"/>
      <w:szCs w:val="20"/>
      <w:u w:val="single"/>
    </w:rPr>
  </w:style>
  <w:style w:type="character" w:styleId="TitleChar" w:customStyle="1">
    <w:name w:val="Title Char"/>
    <w:basedOn w:val="DefaultParagraphFont"/>
    <w:link w:val="Title"/>
    <w:rsid w:val="002F2CA6"/>
    <w:rPr>
      <w:rFonts w:ascii="Arial" w:hAnsi="Arial" w:eastAsia="Times New Roman"/>
      <w:b/>
      <w:kern w:val="28"/>
      <w:u w:val="single"/>
    </w:rPr>
  </w:style>
  <w:style w:type="paragraph" w:styleId="SWTitle1" w:customStyle="1">
    <w:name w:val="_SWTitle1"/>
    <w:aliases w:val="t1"/>
    <w:basedOn w:val="Normal"/>
    <w:rsid w:val="002F2CA6"/>
    <w:pPr>
      <w:keepNext/>
      <w:spacing w:after="240"/>
      <w:jc w:val="center"/>
    </w:pPr>
    <w:rPr>
      <w:rFonts w:eastAsia="Times New Roman"/>
      <w:b/>
      <w:caps/>
      <w:sz w:val="24"/>
      <w:szCs w:val="20"/>
    </w:rPr>
  </w:style>
  <w:style w:type="paragraph" w:styleId="BalloonText">
    <w:name w:val="Balloon Text"/>
    <w:basedOn w:val="Normal"/>
    <w:link w:val="BalloonTextChar"/>
    <w:uiPriority w:val="99"/>
    <w:semiHidden/>
    <w:unhideWhenUsed/>
    <w:rsid w:val="00532FB4"/>
    <w:rPr>
      <w:rFonts w:ascii="Tahoma" w:hAnsi="Tahoma" w:cs="Tahoma"/>
      <w:sz w:val="16"/>
      <w:szCs w:val="16"/>
    </w:rPr>
  </w:style>
  <w:style w:type="character" w:styleId="BalloonTextChar" w:customStyle="1">
    <w:name w:val="Balloon Text Char"/>
    <w:basedOn w:val="DefaultParagraphFont"/>
    <w:link w:val="BalloonText"/>
    <w:uiPriority w:val="99"/>
    <w:semiHidden/>
    <w:rsid w:val="00532FB4"/>
    <w:rPr>
      <w:rFonts w:ascii="Tahoma" w:hAnsi="Tahoma" w:cs="Tahoma"/>
      <w:sz w:val="16"/>
      <w:szCs w:val="16"/>
    </w:rPr>
  </w:style>
  <w:style w:type="character" w:styleId="CommentReference">
    <w:name w:val="annotation reference"/>
    <w:basedOn w:val="DefaultParagraphFont"/>
    <w:uiPriority w:val="99"/>
    <w:semiHidden/>
    <w:unhideWhenUsed/>
    <w:rsid w:val="000B3150"/>
    <w:rPr>
      <w:sz w:val="16"/>
      <w:szCs w:val="16"/>
    </w:rPr>
  </w:style>
  <w:style w:type="paragraph" w:styleId="CommentText">
    <w:name w:val="annotation text"/>
    <w:basedOn w:val="Normal"/>
    <w:link w:val="CommentTextChar"/>
    <w:uiPriority w:val="99"/>
    <w:unhideWhenUsed/>
    <w:rsid w:val="000B3150"/>
    <w:rPr>
      <w:sz w:val="20"/>
      <w:szCs w:val="20"/>
    </w:rPr>
  </w:style>
  <w:style w:type="character" w:styleId="CommentTextChar" w:customStyle="1">
    <w:name w:val="Comment Text Char"/>
    <w:basedOn w:val="DefaultParagraphFont"/>
    <w:link w:val="CommentText"/>
    <w:uiPriority w:val="99"/>
    <w:rsid w:val="000B3150"/>
  </w:style>
  <w:style w:type="paragraph" w:styleId="CommentSubject">
    <w:name w:val="annotation subject"/>
    <w:basedOn w:val="CommentText"/>
    <w:next w:val="CommentText"/>
    <w:link w:val="CommentSubjectChar"/>
    <w:uiPriority w:val="99"/>
    <w:semiHidden/>
    <w:unhideWhenUsed/>
    <w:rsid w:val="000B3150"/>
    <w:rPr>
      <w:b/>
      <w:bCs/>
    </w:rPr>
  </w:style>
  <w:style w:type="character" w:styleId="CommentSubjectChar" w:customStyle="1">
    <w:name w:val="Comment Subject Char"/>
    <w:basedOn w:val="CommentTextChar"/>
    <w:link w:val="CommentSubject"/>
    <w:uiPriority w:val="99"/>
    <w:semiHidden/>
    <w:rsid w:val="000B3150"/>
    <w:rPr>
      <w:b/>
      <w:bCs/>
    </w:rPr>
  </w:style>
  <w:style w:type="paragraph" w:styleId="ListParagraph">
    <w:name w:val="List Paragraph"/>
    <w:basedOn w:val="Normal"/>
    <w:uiPriority w:val="34"/>
    <w:qFormat/>
    <w:rsid w:val="00B97850"/>
    <w:pPr>
      <w:ind w:left="720"/>
    </w:pPr>
  </w:style>
  <w:style w:type="paragraph" w:styleId="TOC1">
    <w:name w:val="toc 1"/>
    <w:basedOn w:val="Normal"/>
    <w:next w:val="Normal"/>
    <w:autoRedefine/>
    <w:uiPriority w:val="39"/>
    <w:unhideWhenUsed/>
    <w:rsid w:val="00DF6535"/>
    <w:pPr>
      <w:tabs>
        <w:tab w:val="right" w:leader="dot" w:pos="9350"/>
      </w:tabs>
    </w:pPr>
  </w:style>
  <w:style w:type="paragraph" w:styleId="TOC2">
    <w:name w:val="toc 2"/>
    <w:basedOn w:val="Normal"/>
    <w:next w:val="Normal"/>
    <w:autoRedefine/>
    <w:uiPriority w:val="39"/>
    <w:unhideWhenUsed/>
    <w:rsid w:val="00EF3FA5"/>
    <w:pPr>
      <w:ind w:left="220"/>
    </w:pPr>
  </w:style>
  <w:style w:type="paragraph" w:styleId="TOCHeading">
    <w:name w:val="TOC Heading"/>
    <w:basedOn w:val="Heading1"/>
    <w:next w:val="Normal"/>
    <w:uiPriority w:val="39"/>
    <w:semiHidden/>
    <w:unhideWhenUsed/>
    <w:qFormat/>
    <w:rsid w:val="00FB5953"/>
    <w:pPr>
      <w:keepNext/>
      <w:keepLines/>
      <w:widowControl/>
      <w:numPr>
        <w:numId w:val="0"/>
      </w:numPr>
      <w:tabs>
        <w:tab w:val="clear" w:pos="0"/>
      </w:tabs>
      <w:spacing w:before="480" w:after="0" w:line="276" w:lineRule="auto"/>
      <w:jc w:val="left"/>
      <w:outlineLvl w:val="9"/>
    </w:pPr>
    <w:rPr>
      <w:rFonts w:ascii="Cambria" w:hAnsi="Cambria"/>
      <w:bCs/>
      <w:caps w:val="0"/>
      <w:color w:val="365F91"/>
      <w:sz w:val="28"/>
      <w:szCs w:val="28"/>
    </w:rPr>
  </w:style>
  <w:style w:type="paragraph" w:styleId="Revision">
    <w:name w:val="Revision"/>
    <w:hidden/>
    <w:uiPriority w:val="99"/>
    <w:semiHidden/>
    <w:rsid w:val="00DF7CF2"/>
    <w:rPr>
      <w:sz w:val="22"/>
      <w:szCs w:val="22"/>
    </w:rPr>
  </w:style>
  <w:style w:type="table" w:styleId="TableGrid">
    <w:name w:val="Table Grid"/>
    <w:basedOn w:val="TableNormal"/>
    <w:uiPriority w:val="59"/>
    <w:rsid w:val="00E875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10" w:customStyle="1">
    <w:name w:val="CM10"/>
    <w:basedOn w:val="Default"/>
    <w:next w:val="Default"/>
    <w:uiPriority w:val="99"/>
    <w:rsid w:val="008A75CC"/>
    <w:pPr>
      <w:widowControl w:val="0"/>
    </w:pPr>
    <w:rPr>
      <w:rFonts w:ascii="Arial" w:hAnsi="Arial" w:eastAsia="Times New Roman" w:cs="Arial"/>
      <w:color w:val="auto"/>
    </w:rPr>
  </w:style>
  <w:style w:type="character" w:styleId="FollowedHyperlink">
    <w:name w:val="FollowedHyperlink"/>
    <w:basedOn w:val="DefaultParagraphFont"/>
    <w:uiPriority w:val="99"/>
    <w:semiHidden/>
    <w:unhideWhenUsed/>
    <w:rsid w:val="00DF6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30387">
      <w:bodyDiv w:val="1"/>
      <w:marLeft w:val="0"/>
      <w:marRight w:val="0"/>
      <w:marTop w:val="0"/>
      <w:marBottom w:val="0"/>
      <w:divBdr>
        <w:top w:val="none" w:sz="0" w:space="0" w:color="auto"/>
        <w:left w:val="none" w:sz="0" w:space="0" w:color="auto"/>
        <w:bottom w:val="none" w:sz="0" w:space="0" w:color="auto"/>
        <w:right w:val="none" w:sz="0" w:space="0" w:color="auto"/>
      </w:divBdr>
    </w:div>
    <w:div w:id="737169668">
      <w:bodyDiv w:val="1"/>
      <w:marLeft w:val="0"/>
      <w:marRight w:val="0"/>
      <w:marTop w:val="0"/>
      <w:marBottom w:val="0"/>
      <w:divBdr>
        <w:top w:val="none" w:sz="0" w:space="0" w:color="auto"/>
        <w:left w:val="none" w:sz="0" w:space="0" w:color="auto"/>
        <w:bottom w:val="none" w:sz="0" w:space="0" w:color="auto"/>
        <w:right w:val="none" w:sz="0" w:space="0" w:color="auto"/>
      </w:divBdr>
    </w:div>
    <w:div w:id="854996377">
      <w:bodyDiv w:val="1"/>
      <w:marLeft w:val="0"/>
      <w:marRight w:val="0"/>
      <w:marTop w:val="0"/>
      <w:marBottom w:val="0"/>
      <w:divBdr>
        <w:top w:val="none" w:sz="0" w:space="0" w:color="auto"/>
        <w:left w:val="none" w:sz="0" w:space="0" w:color="auto"/>
        <w:bottom w:val="none" w:sz="0" w:space="0" w:color="auto"/>
        <w:right w:val="none" w:sz="0" w:space="0" w:color="auto"/>
      </w:divBdr>
    </w:div>
    <w:div w:id="968897950">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235314081">
      <w:bodyDiv w:val="1"/>
      <w:marLeft w:val="0"/>
      <w:marRight w:val="0"/>
      <w:marTop w:val="0"/>
      <w:marBottom w:val="0"/>
      <w:divBdr>
        <w:top w:val="none" w:sz="0" w:space="0" w:color="auto"/>
        <w:left w:val="none" w:sz="0" w:space="0" w:color="auto"/>
        <w:bottom w:val="none" w:sz="0" w:space="0" w:color="auto"/>
        <w:right w:val="none" w:sz="0" w:space="0" w:color="auto"/>
      </w:divBdr>
    </w:div>
    <w:div w:id="1355381980">
      <w:bodyDiv w:val="1"/>
      <w:marLeft w:val="0"/>
      <w:marRight w:val="0"/>
      <w:marTop w:val="0"/>
      <w:marBottom w:val="0"/>
      <w:divBdr>
        <w:top w:val="none" w:sz="0" w:space="0" w:color="auto"/>
        <w:left w:val="none" w:sz="0" w:space="0" w:color="auto"/>
        <w:bottom w:val="none" w:sz="0" w:space="0" w:color="auto"/>
        <w:right w:val="none" w:sz="0" w:space="0" w:color="auto"/>
      </w:divBdr>
    </w:div>
    <w:div w:id="1379285071">
      <w:bodyDiv w:val="1"/>
      <w:marLeft w:val="0"/>
      <w:marRight w:val="0"/>
      <w:marTop w:val="0"/>
      <w:marBottom w:val="0"/>
      <w:divBdr>
        <w:top w:val="none" w:sz="0" w:space="0" w:color="auto"/>
        <w:left w:val="none" w:sz="0" w:space="0" w:color="auto"/>
        <w:bottom w:val="none" w:sz="0" w:space="0" w:color="auto"/>
        <w:right w:val="none" w:sz="0" w:space="0" w:color="auto"/>
      </w:divBdr>
    </w:div>
    <w:div w:id="1477455106">
      <w:bodyDiv w:val="1"/>
      <w:marLeft w:val="0"/>
      <w:marRight w:val="0"/>
      <w:marTop w:val="0"/>
      <w:marBottom w:val="0"/>
      <w:divBdr>
        <w:top w:val="none" w:sz="0" w:space="0" w:color="auto"/>
        <w:left w:val="none" w:sz="0" w:space="0" w:color="auto"/>
        <w:bottom w:val="none" w:sz="0" w:space="0" w:color="auto"/>
        <w:right w:val="none" w:sz="0" w:space="0" w:color="auto"/>
      </w:divBdr>
    </w:div>
    <w:div w:id="1611745600">
      <w:bodyDiv w:val="1"/>
      <w:marLeft w:val="0"/>
      <w:marRight w:val="0"/>
      <w:marTop w:val="0"/>
      <w:marBottom w:val="0"/>
      <w:divBdr>
        <w:top w:val="none" w:sz="0" w:space="0" w:color="auto"/>
        <w:left w:val="none" w:sz="0" w:space="0" w:color="auto"/>
        <w:bottom w:val="none" w:sz="0" w:space="0" w:color="auto"/>
        <w:right w:val="none" w:sz="0" w:space="0" w:color="auto"/>
      </w:divBdr>
    </w:div>
    <w:div w:id="1664894784">
      <w:bodyDiv w:val="1"/>
      <w:marLeft w:val="0"/>
      <w:marRight w:val="0"/>
      <w:marTop w:val="0"/>
      <w:marBottom w:val="0"/>
      <w:divBdr>
        <w:top w:val="none" w:sz="0" w:space="0" w:color="auto"/>
        <w:left w:val="none" w:sz="0" w:space="0" w:color="auto"/>
        <w:bottom w:val="none" w:sz="0" w:space="0" w:color="auto"/>
        <w:right w:val="none" w:sz="0" w:space="0" w:color="auto"/>
      </w:divBdr>
    </w:div>
    <w:div w:id="19698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adviserinfo.sec.gov"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9D75CB510C6048960F2581DDDC6315" ma:contentTypeVersion="4" ma:contentTypeDescription="Create a new document." ma:contentTypeScope="" ma:versionID="58fc27bad8c2c12bba24279734ce8171">
  <xsd:schema xmlns:xsd="http://www.w3.org/2001/XMLSchema" xmlns:xs="http://www.w3.org/2001/XMLSchema" xmlns:p="http://schemas.microsoft.com/office/2006/metadata/properties" xmlns:ns2="96df2565-2284-4f21-8b63-ef10e8445df1" targetNamespace="http://schemas.microsoft.com/office/2006/metadata/properties" ma:root="true" ma:fieldsID="cf6e93fe0246df6393bf047866c5a1ae" ns2:_="">
    <xsd:import namespace="96df2565-2284-4f21-8b63-ef10e8445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f2565-2284-4f21-8b63-ef10e844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BECCA-5E90-4E85-A5F3-EC20E065E46B}">
  <ds:schemaRefs>
    <ds:schemaRef ds:uri="http://schemas.openxmlformats.org/officeDocument/2006/bibliography"/>
  </ds:schemaRefs>
</ds:datastoreItem>
</file>

<file path=customXml/itemProps2.xml><?xml version="1.0" encoding="utf-8"?>
<ds:datastoreItem xmlns:ds="http://schemas.openxmlformats.org/officeDocument/2006/customXml" ds:itemID="{EB2BC81D-7938-484A-9EE4-2F40914B48CE}"/>
</file>

<file path=customXml/itemProps3.xml><?xml version="1.0" encoding="utf-8"?>
<ds:datastoreItem xmlns:ds="http://schemas.openxmlformats.org/officeDocument/2006/customXml" ds:itemID="{171E565D-0EF5-49D3-BE48-BB44B10C06DF}"/>
</file>

<file path=customXml/itemProps4.xml><?xml version="1.0" encoding="utf-8"?>
<ds:datastoreItem xmlns:ds="http://schemas.openxmlformats.org/officeDocument/2006/customXml" ds:itemID="{47473DF8-EB8A-4386-BB35-5EBBC72295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Leo Arms</cp:lastModifiedBy>
  <cp:revision>72</cp:revision>
  <cp:lastPrinted>2021-02-26T17:54:00Z</cp:lastPrinted>
  <dcterms:created xsi:type="dcterms:W3CDTF">2022-03-09T00:16:00Z</dcterms:created>
  <dcterms:modified xsi:type="dcterms:W3CDTF">2022-03-16T18:50:54Z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0x010100B29D75CB510C6048960F2581DDDC6315</vt:lpwstr>
  </property>
</Properties>
</file>